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宋体" w:hAnsi="宋体" w:eastAsia="方正黑体简体" w:cs="宋体"/>
          <w:color w:val="000000"/>
          <w:kern w:val="0"/>
          <w:sz w:val="32"/>
          <w:szCs w:val="32"/>
        </w:rPr>
      </w:pPr>
      <w:r>
        <w:rPr>
          <w:rFonts w:hint="eastAsia" w:ascii="宋体" w:hAnsi="宋体" w:eastAsia="方正黑体简体" w:cs="方正黑体简体"/>
          <w:color w:val="000000"/>
          <w:kern w:val="0"/>
          <w:sz w:val="32"/>
          <w:szCs w:val="32"/>
        </w:rPr>
        <w:t>附件</w:t>
      </w:r>
      <w:r>
        <w:rPr>
          <w:rFonts w:ascii="宋体" w:hAnsi="宋体" w:eastAsia="方正黑体简体" w:cs="宋体"/>
          <w:color w:val="000000"/>
          <w:kern w:val="0"/>
          <w:sz w:val="32"/>
          <w:szCs w:val="32"/>
        </w:rPr>
        <w:t>2</w:t>
      </w:r>
    </w:p>
    <w:p>
      <w:pPr>
        <w:spacing w:line="620" w:lineRule="exact"/>
        <w:jc w:val="center"/>
        <w:rPr>
          <w:rFonts w:hint="eastAsia" w:ascii="宋体" w:hAnsi="宋体" w:eastAsia="方正小标宋简体" w:cs="方正小标宋简体"/>
          <w:color w:val="000000"/>
          <w:kern w:val="0"/>
          <w:sz w:val="36"/>
          <w:szCs w:val="36"/>
        </w:rPr>
      </w:pPr>
      <w:bookmarkStart w:id="0" w:name="_GoBack"/>
      <w:r>
        <w:rPr>
          <w:rFonts w:ascii="宋体" w:hAnsi="宋体" w:eastAsia="方正小标宋简体" w:cs="宋体"/>
          <w:color w:val="000000"/>
          <w:kern w:val="0"/>
          <w:sz w:val="36"/>
          <w:szCs w:val="36"/>
        </w:rPr>
        <w:t>202</w:t>
      </w:r>
      <w:r>
        <w:rPr>
          <w:rFonts w:hint="eastAsia" w:ascii="宋体" w:hAnsi="宋体" w:eastAsia="方正小标宋简体" w:cs="宋体"/>
          <w:color w:val="000000"/>
          <w:kern w:val="0"/>
          <w:sz w:val="36"/>
          <w:szCs w:val="36"/>
          <w:lang w:val="en-US" w:eastAsia="zh-CN"/>
        </w:rPr>
        <w:t>1</w:t>
      </w:r>
      <w:r>
        <w:rPr>
          <w:rFonts w:hint="eastAsia" w:ascii="宋体" w:hAnsi="宋体" w:eastAsia="方正小标宋简体" w:cs="方正小标宋简体"/>
          <w:color w:val="000000"/>
          <w:kern w:val="0"/>
          <w:sz w:val="36"/>
          <w:szCs w:val="36"/>
        </w:rPr>
        <w:t>年度市本级部门整体支出绩效目标完成情况表</w:t>
      </w:r>
    </w:p>
    <w:bookmarkEnd w:id="0"/>
    <w:p>
      <w:pPr>
        <w:pStyle w:val="2"/>
        <w:rPr>
          <w:rFonts w:ascii="宋体"/>
          <w:color w:val="000000"/>
        </w:rPr>
      </w:pPr>
    </w:p>
    <w:tbl>
      <w:tblPr>
        <w:tblStyle w:val="3"/>
        <w:tblW w:w="88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32"/>
        <w:gridCol w:w="1163"/>
        <w:gridCol w:w="1245"/>
        <w:gridCol w:w="1170"/>
        <w:gridCol w:w="13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trPr>
        <w:tc>
          <w:tcPr>
            <w:tcW w:w="940" w:type="dxa"/>
            <w:noWrap w:val="0"/>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部门（单位）名称</w:t>
            </w:r>
          </w:p>
        </w:tc>
        <w:tc>
          <w:tcPr>
            <w:tcW w:w="4410" w:type="dxa"/>
            <w:gridSpan w:val="4"/>
            <w:noWrap w:val="0"/>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中国共产党资阳市委员会政法委员会</w:t>
            </w:r>
          </w:p>
        </w:tc>
        <w:tc>
          <w:tcPr>
            <w:tcW w:w="1378" w:type="dxa"/>
            <w:noWrap w:val="0"/>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预算单位编码</w:t>
            </w:r>
          </w:p>
        </w:tc>
        <w:tc>
          <w:tcPr>
            <w:tcW w:w="2162" w:type="dxa"/>
            <w:noWrap w:val="0"/>
            <w:vAlign w:val="center"/>
          </w:tcPr>
          <w:p>
            <w:pPr>
              <w:widowControl/>
              <w:jc w:val="center"/>
              <w:rPr>
                <w:rFonts w:hint="default" w:ascii="宋体" w:eastAsia="宋体" w:cs="Times New Roman"/>
                <w:b/>
                <w:bCs/>
                <w:color w:val="000000"/>
                <w:kern w:val="0"/>
                <w:sz w:val="20"/>
                <w:szCs w:val="20"/>
                <w:lang w:val="en-US" w:eastAsia="zh-CN"/>
              </w:rPr>
            </w:pPr>
            <w:r>
              <w:rPr>
                <w:rFonts w:hint="eastAsia" w:ascii="宋体" w:hAnsi="宋体" w:cs="宋体"/>
                <w:b/>
                <w:bCs/>
                <w:color w:val="000000"/>
                <w:kern w:val="0"/>
                <w:sz w:val="20"/>
                <w:szCs w:val="20"/>
                <w:lang w:val="en-US" w:eastAsia="zh-CN"/>
              </w:rPr>
              <w:t>106001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0"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预算执行情况</w:t>
            </w: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项目</w:t>
            </w:r>
          </w:p>
        </w:tc>
        <w:tc>
          <w:tcPr>
            <w:tcW w:w="1163"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预算额</w:t>
            </w:r>
            <w:r>
              <w:rPr>
                <w:rFonts w:ascii="宋体" w:hAnsi="宋体" w:cs="宋体"/>
                <w:color w:val="000000"/>
                <w:kern w:val="0"/>
                <w:sz w:val="20"/>
                <w:szCs w:val="20"/>
              </w:rPr>
              <w:t>(</w:t>
            </w:r>
            <w:r>
              <w:rPr>
                <w:rFonts w:hint="eastAsia" w:ascii="宋体" w:hAnsi="宋体" w:cs="宋体"/>
                <w:color w:val="000000"/>
                <w:kern w:val="0"/>
                <w:sz w:val="20"/>
                <w:szCs w:val="20"/>
              </w:rPr>
              <w:t>百元</w:t>
            </w:r>
            <w:r>
              <w:rPr>
                <w:rFonts w:ascii="宋体" w:hAnsi="宋体" w:cs="宋体"/>
                <w:color w:val="000000"/>
                <w:kern w:val="0"/>
                <w:sz w:val="20"/>
                <w:szCs w:val="20"/>
              </w:rPr>
              <w:t>)</w:t>
            </w:r>
          </w:p>
        </w:tc>
        <w:tc>
          <w:tcPr>
            <w:tcW w:w="1245"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执行额</w:t>
            </w:r>
            <w:r>
              <w:rPr>
                <w:rFonts w:ascii="宋体" w:hAnsi="宋体" w:cs="宋体"/>
                <w:color w:val="000000"/>
                <w:kern w:val="0"/>
                <w:sz w:val="20"/>
                <w:szCs w:val="20"/>
              </w:rPr>
              <w:t>(</w:t>
            </w:r>
            <w:r>
              <w:rPr>
                <w:rFonts w:hint="eastAsia" w:ascii="宋体" w:hAnsi="宋体" w:cs="宋体"/>
                <w:color w:val="000000"/>
                <w:kern w:val="0"/>
                <w:sz w:val="20"/>
                <w:szCs w:val="20"/>
              </w:rPr>
              <w:t>百元</w:t>
            </w:r>
            <w:r>
              <w:rPr>
                <w:rFonts w:ascii="宋体" w:hAnsi="宋体" w:cs="宋体"/>
                <w:color w:val="000000"/>
                <w:kern w:val="0"/>
                <w:sz w:val="20"/>
                <w:szCs w:val="20"/>
              </w:rPr>
              <w:t>)</w:t>
            </w:r>
          </w:p>
        </w:tc>
        <w:tc>
          <w:tcPr>
            <w:tcW w:w="1170"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当年结转结余额</w:t>
            </w:r>
            <w:r>
              <w:rPr>
                <w:rFonts w:ascii="宋体" w:hAnsi="宋体" w:cs="宋体"/>
                <w:color w:val="000000"/>
                <w:kern w:val="0"/>
                <w:sz w:val="20"/>
                <w:szCs w:val="20"/>
              </w:rPr>
              <w:t>(</w:t>
            </w:r>
            <w:r>
              <w:rPr>
                <w:rFonts w:hint="eastAsia" w:ascii="宋体" w:hAnsi="宋体" w:cs="宋体"/>
                <w:color w:val="000000"/>
                <w:kern w:val="0"/>
                <w:sz w:val="20"/>
                <w:szCs w:val="20"/>
              </w:rPr>
              <w:t>百元</w:t>
            </w:r>
            <w:r>
              <w:rPr>
                <w:rFonts w:ascii="宋体" w:hAnsi="宋体" w:cs="宋体"/>
                <w:color w:val="000000"/>
                <w:kern w:val="0"/>
                <w:sz w:val="20"/>
                <w:szCs w:val="20"/>
              </w:rPr>
              <w:t>)</w:t>
            </w:r>
          </w:p>
        </w:tc>
        <w:tc>
          <w:tcPr>
            <w:tcW w:w="1378"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结转结余率</w:t>
            </w:r>
            <w:r>
              <w:rPr>
                <w:rFonts w:ascii="宋体" w:hAnsi="宋体" w:cs="宋体"/>
                <w:color w:val="000000"/>
                <w:kern w:val="0"/>
                <w:sz w:val="20"/>
                <w:szCs w:val="20"/>
              </w:rPr>
              <w:t>%</w:t>
            </w:r>
          </w:p>
        </w:tc>
        <w:tc>
          <w:tcPr>
            <w:tcW w:w="216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结转结余变动率</w:t>
            </w:r>
            <w:r>
              <w:rPr>
                <w:rFonts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合计</w:t>
            </w:r>
          </w:p>
        </w:tc>
        <w:tc>
          <w:tcPr>
            <w:tcW w:w="1163" w:type="dxa"/>
            <w:noWrap w:val="0"/>
            <w:vAlign w:val="center"/>
          </w:tcPr>
          <w:p>
            <w:pPr>
              <w:widowControl/>
              <w:spacing w:line="260" w:lineRule="exact"/>
              <w:jc w:val="left"/>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130853.63</w:t>
            </w:r>
          </w:p>
        </w:tc>
        <w:tc>
          <w:tcPr>
            <w:tcW w:w="1245"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130853.63</w:t>
            </w:r>
          </w:p>
        </w:tc>
        <w:tc>
          <w:tcPr>
            <w:tcW w:w="1170" w:type="dxa"/>
            <w:noWrap w:val="0"/>
            <w:vAlign w:val="center"/>
          </w:tcPr>
          <w:p>
            <w:pPr>
              <w:widowControl/>
              <w:spacing w:line="260" w:lineRule="exact"/>
              <w:jc w:val="left"/>
              <w:rPr>
                <w:rFonts w:hint="eastAsia" w:ascii="宋体" w:eastAsia="宋体" w:cs="宋体"/>
                <w:color w:val="000000"/>
                <w:kern w:val="0"/>
                <w:sz w:val="20"/>
                <w:szCs w:val="20"/>
                <w:lang w:eastAsia="zh-CN"/>
              </w:rPr>
            </w:pPr>
            <w:r>
              <w:rPr>
                <w:rFonts w:hint="eastAsia" w:ascii="宋体" w:cs="宋体"/>
                <w:color w:val="000000"/>
                <w:kern w:val="0"/>
                <w:sz w:val="20"/>
                <w:szCs w:val="20"/>
                <w:lang w:val="en-US" w:eastAsia="zh-CN"/>
              </w:rPr>
              <w:t>0</w:t>
            </w:r>
          </w:p>
        </w:tc>
        <w:tc>
          <w:tcPr>
            <w:tcW w:w="1378"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2162"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基本支出</w:t>
            </w:r>
          </w:p>
        </w:tc>
        <w:tc>
          <w:tcPr>
            <w:tcW w:w="1163"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85469.95</w:t>
            </w:r>
          </w:p>
        </w:tc>
        <w:tc>
          <w:tcPr>
            <w:tcW w:w="1245"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85469.95</w:t>
            </w:r>
          </w:p>
        </w:tc>
        <w:tc>
          <w:tcPr>
            <w:tcW w:w="1170" w:type="dxa"/>
            <w:noWrap w:val="0"/>
            <w:vAlign w:val="center"/>
          </w:tcPr>
          <w:p>
            <w:pPr>
              <w:widowControl/>
              <w:spacing w:line="260" w:lineRule="exact"/>
              <w:jc w:val="left"/>
              <w:rPr>
                <w:rFonts w:ascii="宋体" w:cs="宋体"/>
                <w:color w:val="000000"/>
                <w:kern w:val="0"/>
                <w:sz w:val="20"/>
                <w:szCs w:val="20"/>
              </w:rPr>
            </w:pPr>
            <w:r>
              <w:rPr>
                <w:rFonts w:ascii="宋体" w:cs="宋体"/>
                <w:color w:val="000000"/>
                <w:kern w:val="0"/>
                <w:sz w:val="20"/>
                <w:szCs w:val="20"/>
              </w:rPr>
              <w:t>0</w:t>
            </w:r>
          </w:p>
        </w:tc>
        <w:tc>
          <w:tcPr>
            <w:tcW w:w="1378"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2162"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政策和项目支出</w:t>
            </w:r>
          </w:p>
        </w:tc>
        <w:tc>
          <w:tcPr>
            <w:tcW w:w="1163"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45383.67</w:t>
            </w:r>
          </w:p>
        </w:tc>
        <w:tc>
          <w:tcPr>
            <w:tcW w:w="1245"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45383.67</w:t>
            </w:r>
          </w:p>
        </w:tc>
        <w:tc>
          <w:tcPr>
            <w:tcW w:w="1170" w:type="dxa"/>
            <w:noWrap w:val="0"/>
            <w:vAlign w:val="center"/>
          </w:tcPr>
          <w:p>
            <w:pPr>
              <w:widowControl/>
              <w:spacing w:line="260" w:lineRule="exact"/>
              <w:jc w:val="left"/>
              <w:rPr>
                <w:rFonts w:hint="eastAsia" w:ascii="宋体" w:eastAsia="宋体" w:cs="宋体"/>
                <w:color w:val="000000"/>
                <w:kern w:val="0"/>
                <w:sz w:val="20"/>
                <w:szCs w:val="20"/>
                <w:lang w:eastAsia="zh-CN"/>
              </w:rPr>
            </w:pPr>
            <w:r>
              <w:rPr>
                <w:rFonts w:hint="eastAsia" w:ascii="宋体" w:cs="宋体"/>
                <w:color w:val="000000"/>
                <w:kern w:val="0"/>
                <w:sz w:val="20"/>
                <w:szCs w:val="20"/>
                <w:lang w:val="en-US" w:eastAsia="zh-CN"/>
              </w:rPr>
              <w:t>0</w:t>
            </w:r>
          </w:p>
        </w:tc>
        <w:tc>
          <w:tcPr>
            <w:tcW w:w="1378"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2162"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0"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w:t>
            </w:r>
          </w:p>
          <w:p>
            <w:pPr>
              <w:widowControl/>
              <w:jc w:val="center"/>
              <w:rPr>
                <w:rFonts w:ascii="宋体" w:cs="Times New Roman"/>
                <w:color w:val="000000"/>
                <w:kern w:val="0"/>
                <w:sz w:val="20"/>
                <w:szCs w:val="20"/>
              </w:rPr>
            </w:pPr>
            <w:r>
              <w:rPr>
                <w:rFonts w:hint="eastAsia" w:ascii="宋体" w:hAnsi="宋体" w:cs="宋体"/>
                <w:color w:val="000000"/>
                <w:kern w:val="0"/>
                <w:sz w:val="20"/>
                <w:szCs w:val="20"/>
              </w:rPr>
              <w:t>结构</w:t>
            </w: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项目</w:t>
            </w:r>
          </w:p>
        </w:tc>
        <w:tc>
          <w:tcPr>
            <w:tcW w:w="1163"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合计</w:t>
            </w:r>
          </w:p>
        </w:tc>
        <w:tc>
          <w:tcPr>
            <w:tcW w:w="1245"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一般公共预算安排</w:t>
            </w:r>
          </w:p>
        </w:tc>
        <w:tc>
          <w:tcPr>
            <w:tcW w:w="1170"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政府性基金预算安排</w:t>
            </w:r>
          </w:p>
        </w:tc>
        <w:tc>
          <w:tcPr>
            <w:tcW w:w="1378"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国有资本经营预算安排</w:t>
            </w:r>
          </w:p>
        </w:tc>
        <w:tc>
          <w:tcPr>
            <w:tcW w:w="216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预算额</w:t>
            </w:r>
            <w:r>
              <w:rPr>
                <w:rFonts w:ascii="宋体" w:hAnsi="宋体" w:cs="宋体"/>
                <w:color w:val="000000"/>
                <w:kern w:val="0"/>
                <w:sz w:val="20"/>
                <w:szCs w:val="20"/>
              </w:rPr>
              <w:t>(</w:t>
            </w:r>
            <w:r>
              <w:rPr>
                <w:rFonts w:hint="eastAsia" w:ascii="宋体" w:hAnsi="宋体" w:cs="宋体"/>
                <w:color w:val="000000"/>
                <w:kern w:val="0"/>
                <w:sz w:val="20"/>
                <w:szCs w:val="20"/>
              </w:rPr>
              <w:t>百元</w:t>
            </w:r>
            <w:r>
              <w:rPr>
                <w:rFonts w:ascii="宋体" w:hAnsi="宋体" w:cs="宋体"/>
                <w:color w:val="000000"/>
                <w:kern w:val="0"/>
                <w:sz w:val="20"/>
                <w:szCs w:val="20"/>
              </w:rPr>
              <w:t>)</w:t>
            </w:r>
          </w:p>
        </w:tc>
        <w:tc>
          <w:tcPr>
            <w:tcW w:w="1163"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130853.63</w:t>
            </w:r>
          </w:p>
        </w:tc>
        <w:tc>
          <w:tcPr>
            <w:tcW w:w="1245"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130853.63</w:t>
            </w:r>
          </w:p>
        </w:tc>
        <w:tc>
          <w:tcPr>
            <w:tcW w:w="1170"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1378"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2162"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执行额</w:t>
            </w:r>
            <w:r>
              <w:rPr>
                <w:rFonts w:ascii="宋体" w:hAnsi="宋体" w:cs="宋体"/>
                <w:color w:val="000000"/>
                <w:kern w:val="0"/>
                <w:sz w:val="20"/>
                <w:szCs w:val="20"/>
              </w:rPr>
              <w:t>(</w:t>
            </w:r>
            <w:r>
              <w:rPr>
                <w:rFonts w:hint="eastAsia" w:ascii="宋体" w:hAnsi="宋体" w:cs="宋体"/>
                <w:color w:val="000000"/>
                <w:kern w:val="0"/>
                <w:sz w:val="20"/>
                <w:szCs w:val="20"/>
              </w:rPr>
              <w:t>百元</w:t>
            </w:r>
            <w:r>
              <w:rPr>
                <w:rFonts w:ascii="宋体" w:hAnsi="宋体" w:cs="宋体"/>
                <w:color w:val="000000"/>
                <w:kern w:val="0"/>
                <w:sz w:val="20"/>
                <w:szCs w:val="20"/>
              </w:rPr>
              <w:t>)</w:t>
            </w:r>
          </w:p>
        </w:tc>
        <w:tc>
          <w:tcPr>
            <w:tcW w:w="1163" w:type="dxa"/>
            <w:noWrap w:val="0"/>
            <w:vAlign w:val="center"/>
          </w:tcPr>
          <w:p>
            <w:pPr>
              <w:widowControl/>
              <w:spacing w:line="260" w:lineRule="exact"/>
              <w:jc w:val="left"/>
              <w:rPr>
                <w:rFonts w:hint="default" w:ascii="宋体" w:cs="宋体"/>
                <w:color w:val="000000"/>
                <w:kern w:val="0"/>
                <w:sz w:val="20"/>
                <w:szCs w:val="20"/>
                <w:lang w:val="en-US" w:eastAsia="zh-CN"/>
              </w:rPr>
            </w:pPr>
            <w:r>
              <w:rPr>
                <w:rFonts w:hint="eastAsia" w:ascii="宋体" w:cs="宋体"/>
                <w:color w:val="000000"/>
                <w:kern w:val="0"/>
                <w:sz w:val="20"/>
                <w:szCs w:val="20"/>
                <w:lang w:val="en-US" w:eastAsia="zh-CN"/>
              </w:rPr>
              <w:t>130853.63</w:t>
            </w:r>
          </w:p>
        </w:tc>
        <w:tc>
          <w:tcPr>
            <w:tcW w:w="1245" w:type="dxa"/>
            <w:noWrap w:val="0"/>
            <w:vAlign w:val="center"/>
          </w:tcPr>
          <w:p>
            <w:pPr>
              <w:widowControl/>
              <w:spacing w:line="260" w:lineRule="exact"/>
              <w:jc w:val="left"/>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130853.63</w:t>
            </w:r>
          </w:p>
        </w:tc>
        <w:tc>
          <w:tcPr>
            <w:tcW w:w="1170"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1378"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2162"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60" w:lineRule="exact"/>
              <w:jc w:val="center"/>
              <w:rPr>
                <w:rFonts w:ascii="宋体" w:cs="Times New Roman"/>
                <w:color w:val="000000"/>
                <w:spacing w:val="-20"/>
                <w:kern w:val="0"/>
                <w:sz w:val="20"/>
                <w:szCs w:val="20"/>
              </w:rPr>
            </w:pPr>
            <w:r>
              <w:rPr>
                <w:rFonts w:hint="eastAsia" w:ascii="宋体" w:hAnsi="宋体" w:cs="宋体"/>
                <w:color w:val="000000"/>
                <w:spacing w:val="-20"/>
                <w:kern w:val="0"/>
                <w:sz w:val="20"/>
                <w:szCs w:val="20"/>
              </w:rPr>
              <w:t>当年结转结余额</w:t>
            </w:r>
            <w:r>
              <w:rPr>
                <w:rFonts w:ascii="宋体" w:hAnsi="宋体" w:cs="宋体"/>
                <w:color w:val="000000"/>
                <w:spacing w:val="-20"/>
                <w:kern w:val="0"/>
                <w:sz w:val="20"/>
                <w:szCs w:val="20"/>
              </w:rPr>
              <w:t>(</w:t>
            </w:r>
            <w:r>
              <w:rPr>
                <w:rFonts w:hint="eastAsia" w:ascii="宋体" w:hAnsi="宋体" w:cs="宋体"/>
                <w:color w:val="000000"/>
                <w:spacing w:val="-20"/>
                <w:kern w:val="0"/>
                <w:sz w:val="20"/>
                <w:szCs w:val="20"/>
              </w:rPr>
              <w:t>百元</w:t>
            </w:r>
            <w:r>
              <w:rPr>
                <w:rFonts w:ascii="宋体" w:hAnsi="宋体" w:cs="宋体"/>
                <w:color w:val="000000"/>
                <w:spacing w:val="-20"/>
                <w:kern w:val="0"/>
                <w:sz w:val="20"/>
                <w:szCs w:val="20"/>
              </w:rPr>
              <w:t>)</w:t>
            </w:r>
          </w:p>
        </w:tc>
        <w:tc>
          <w:tcPr>
            <w:tcW w:w="1163"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45"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170"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1378"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2162"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60" w:lineRule="exact"/>
              <w:jc w:val="center"/>
              <w:rPr>
                <w:rFonts w:ascii="宋体" w:cs="Times New Roman"/>
                <w:color w:val="000000"/>
                <w:kern w:val="0"/>
                <w:sz w:val="20"/>
                <w:szCs w:val="20"/>
              </w:rPr>
            </w:pPr>
            <w:r>
              <w:rPr>
                <w:rFonts w:hint="eastAsia" w:ascii="宋体" w:hAnsi="宋体" w:cs="宋体"/>
                <w:color w:val="000000"/>
                <w:kern w:val="0"/>
                <w:sz w:val="20"/>
                <w:szCs w:val="20"/>
              </w:rPr>
              <w:t>结转结余率</w:t>
            </w:r>
            <w:r>
              <w:rPr>
                <w:rFonts w:ascii="宋体" w:hAnsi="宋体" w:cs="宋体"/>
                <w:color w:val="000000"/>
                <w:kern w:val="0"/>
                <w:sz w:val="20"/>
                <w:szCs w:val="20"/>
              </w:rPr>
              <w:t>%</w:t>
            </w:r>
          </w:p>
        </w:tc>
        <w:tc>
          <w:tcPr>
            <w:tcW w:w="1163"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45"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170"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1378"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c>
          <w:tcPr>
            <w:tcW w:w="2162"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cs="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noWrap w:val="0"/>
            <w:vAlign w:val="center"/>
          </w:tcPr>
          <w:p>
            <w:pPr>
              <w:widowControl/>
              <w:spacing w:line="240" w:lineRule="exact"/>
              <w:jc w:val="center"/>
              <w:rPr>
                <w:rFonts w:ascii="宋体" w:cs="Times New Roman"/>
                <w:color w:val="000000"/>
                <w:kern w:val="0"/>
                <w:sz w:val="20"/>
                <w:szCs w:val="20"/>
              </w:rPr>
            </w:pPr>
            <w:r>
              <w:rPr>
                <w:rFonts w:hint="eastAsia" w:ascii="宋体" w:hAnsi="宋体" w:cs="宋体"/>
                <w:color w:val="000000"/>
                <w:kern w:val="0"/>
                <w:sz w:val="20"/>
                <w:szCs w:val="20"/>
              </w:rPr>
              <w:t>结转结余变动率</w:t>
            </w:r>
            <w:r>
              <w:rPr>
                <w:rFonts w:ascii="宋体" w:hAnsi="宋体" w:cs="宋体"/>
                <w:color w:val="000000"/>
                <w:kern w:val="0"/>
                <w:sz w:val="20"/>
                <w:szCs w:val="20"/>
              </w:rPr>
              <w:t>%</w:t>
            </w:r>
          </w:p>
        </w:tc>
        <w:tc>
          <w:tcPr>
            <w:tcW w:w="1163" w:type="dxa"/>
            <w:noWrap w:val="0"/>
            <w:vAlign w:val="center"/>
          </w:tcPr>
          <w:p>
            <w:pPr>
              <w:widowControl/>
              <w:spacing w:line="260" w:lineRule="exact"/>
              <w:jc w:val="left"/>
              <w:rPr>
                <w:rFonts w:hint="default" w:ascii="宋体" w:eastAsia="宋体" w:cs="Times New Roman"/>
                <w:color w:val="000000"/>
                <w:kern w:val="0"/>
                <w:sz w:val="20"/>
                <w:szCs w:val="20"/>
                <w:lang w:val="en-US" w:eastAsia="zh-CN"/>
              </w:rPr>
            </w:pPr>
            <w:r>
              <w:rPr>
                <w:rFonts w:hint="eastAsia" w:ascii="宋体" w:hAnsi="宋体" w:cs="宋体"/>
                <w:color w:val="000000"/>
                <w:kern w:val="0"/>
                <w:sz w:val="20"/>
                <w:szCs w:val="20"/>
                <w:lang w:val="en-US" w:eastAsia="zh-CN"/>
              </w:rPr>
              <w:t xml:space="preserve"> 0</w:t>
            </w:r>
          </w:p>
        </w:tc>
        <w:tc>
          <w:tcPr>
            <w:tcW w:w="1245" w:type="dxa"/>
            <w:noWrap w:val="0"/>
            <w:vAlign w:val="center"/>
          </w:tcPr>
          <w:p>
            <w:pPr>
              <w:widowControl/>
              <w:spacing w:line="260" w:lineRule="exact"/>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170"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w:t>
            </w:r>
          </w:p>
        </w:tc>
        <w:tc>
          <w:tcPr>
            <w:tcW w:w="1378"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w:t>
            </w:r>
          </w:p>
        </w:tc>
        <w:tc>
          <w:tcPr>
            <w:tcW w:w="2162" w:type="dxa"/>
            <w:noWrap w:val="0"/>
            <w:vAlign w:val="center"/>
          </w:tcPr>
          <w:p>
            <w:pPr>
              <w:widowControl/>
              <w:spacing w:line="260" w:lineRule="exact"/>
              <w:jc w:val="left"/>
              <w:rPr>
                <w:rFonts w:ascii="宋体" w:cs="Times New Roman"/>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40"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年度总体目标</w:t>
            </w:r>
          </w:p>
        </w:tc>
        <w:tc>
          <w:tcPr>
            <w:tcW w:w="1995" w:type="dxa"/>
            <w:gridSpan w:val="2"/>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预算总体目标</w:t>
            </w:r>
          </w:p>
        </w:tc>
        <w:tc>
          <w:tcPr>
            <w:tcW w:w="2415" w:type="dxa"/>
            <w:gridSpan w:val="2"/>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预算总体目标执行结果</w:t>
            </w:r>
          </w:p>
        </w:tc>
        <w:tc>
          <w:tcPr>
            <w:tcW w:w="3540" w:type="dxa"/>
            <w:gridSpan w:val="2"/>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199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维护社会稳定工作</w:t>
            </w:r>
          </w:p>
        </w:tc>
        <w:tc>
          <w:tcPr>
            <w:tcW w:w="2415" w:type="dxa"/>
            <w:gridSpan w:val="2"/>
            <w:noWrap w:val="0"/>
            <w:vAlign w:val="center"/>
          </w:tcPr>
          <w:p>
            <w:pPr>
              <w:widowControl/>
              <w:textAlignment w:val="center"/>
              <w:rPr>
                <w:rFonts w:ascii="宋体" w:cs="Times New Roman"/>
                <w:color w:val="000000"/>
                <w:kern w:val="0"/>
                <w:sz w:val="20"/>
                <w:szCs w:val="20"/>
              </w:rPr>
            </w:pPr>
            <w:r>
              <w:rPr>
                <w:rFonts w:hint="eastAsia" w:ascii="宋体" w:hAnsi="宋体" w:cs="宋体"/>
                <w:color w:val="000000"/>
                <w:kern w:val="0"/>
                <w:sz w:val="20"/>
                <w:szCs w:val="20"/>
              </w:rPr>
              <w:t>指导督促各地各部门认真落实维稳工作责任制和重大事项稳定风险评估、维稳形势分析等各项制度，落实“一岗双责”；保持维稳信息系统正常运转，收集研判涉稳信息，及时向上级报告，并通报有关地方和部门；指导督促不稳定因素排查化解，挂牌督办重大突出涉稳问题；指导完善和落实处置群体性事件工作预案，参与群体性事件处置工作；加强与信访部门的协作，参与督促处理集访问题；组织开展维稳工作调查研究，向市委提供决策参考建议，总结完善推广各地各部门维稳工作方法和经验；及时办理上级交办的维护稳定工作事项。</w:t>
            </w:r>
          </w:p>
        </w:tc>
        <w:tc>
          <w:tcPr>
            <w:tcW w:w="3540"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2" w:hRule="atLeast"/>
        </w:trPr>
        <w:tc>
          <w:tcPr>
            <w:tcW w:w="940"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年度总体目标</w:t>
            </w:r>
          </w:p>
        </w:tc>
        <w:tc>
          <w:tcPr>
            <w:tcW w:w="199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社会治安综合治理工作</w:t>
            </w:r>
          </w:p>
        </w:tc>
        <w:tc>
          <w:tcPr>
            <w:tcW w:w="2415" w:type="dxa"/>
            <w:gridSpan w:val="2"/>
            <w:noWrap w:val="0"/>
            <w:vAlign w:val="center"/>
          </w:tcPr>
          <w:p>
            <w:pPr>
              <w:widowControl/>
              <w:textAlignment w:val="center"/>
              <w:rPr>
                <w:rFonts w:ascii="宋体" w:cs="Times New Roman"/>
                <w:color w:val="000000"/>
                <w:kern w:val="0"/>
                <w:sz w:val="20"/>
                <w:szCs w:val="20"/>
              </w:rPr>
            </w:pPr>
            <w:r>
              <w:rPr>
                <w:rFonts w:hint="eastAsia" w:ascii="宋体" w:hAnsi="宋体" w:cs="宋体"/>
                <w:color w:val="000000"/>
                <w:kern w:val="0"/>
                <w:sz w:val="20"/>
                <w:szCs w:val="20"/>
              </w:rPr>
              <w:t>负责对全市社会治安综合治理、平安建设工作进行部署，充分发挥调查研究、组织协调、督促指导、检查考核等职能；深入开展扫黑除恶攻坚战，坚决打赢维护国家安全主动战，依法开展突出治安问题整体战，强力推进禁毒防艾持久战。强化重点行业风险防控，重点领域监管，重点人员服务管理，深化重点青少年违法犯罪工作。深入开展矛盾纠纷源头排查调处、重点领域矛盾和突出矛盾纠纷排查化解，健全矛盾纠纷多元化解机制。加快综治中心实战平台，城乡公共安全视频监控平台，网格化监管平台建设，推动城乡基层社会治理向纵深发展。持续深化平安资阳建设，扎实开展平安建设群众满意度社会评价活动，平安细胞创建活动，“六无社区（村）”创建活动，平安宣传和平安文化建设活动，营造共建共治共享的浓厚氛围。负责组织开展对各县（区）、市级各部门综治及平安建设的检查和考评；做好综治、平安建设和见义勇为的表彰工作；完成市委、市政府和省综治委（办）交办的各项任务。</w:t>
            </w:r>
          </w:p>
        </w:tc>
        <w:tc>
          <w:tcPr>
            <w:tcW w:w="3540"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40" w:type="dxa"/>
            <w:vMerge w:val="continue"/>
            <w:noWrap w:val="0"/>
            <w:vAlign w:val="center"/>
          </w:tcPr>
          <w:p>
            <w:pPr>
              <w:widowControl/>
              <w:jc w:val="left"/>
              <w:rPr>
                <w:rFonts w:ascii="宋体" w:cs="Times New Roman"/>
                <w:color w:val="000000"/>
                <w:kern w:val="0"/>
                <w:sz w:val="20"/>
                <w:szCs w:val="20"/>
              </w:rPr>
            </w:pPr>
          </w:p>
        </w:tc>
        <w:tc>
          <w:tcPr>
            <w:tcW w:w="199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扫黑除恶专项工作</w:t>
            </w:r>
          </w:p>
        </w:tc>
        <w:tc>
          <w:tcPr>
            <w:tcW w:w="241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开展扫黑除恶宣传发动、依法打击、拍蝇打伞、基层组织建设、综合治理等工作</w:t>
            </w:r>
          </w:p>
        </w:tc>
        <w:tc>
          <w:tcPr>
            <w:tcW w:w="3540"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199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法学会专项工作</w:t>
            </w:r>
          </w:p>
        </w:tc>
        <w:tc>
          <w:tcPr>
            <w:tcW w:w="2415" w:type="dxa"/>
            <w:gridSpan w:val="2"/>
            <w:noWrap w:val="0"/>
            <w:vAlign w:val="center"/>
          </w:tcPr>
          <w:p>
            <w:pPr>
              <w:widowControl/>
              <w:textAlignment w:val="center"/>
              <w:rPr>
                <w:rFonts w:ascii="宋体" w:cs="Times New Roman"/>
                <w:color w:val="000000"/>
                <w:kern w:val="0"/>
                <w:sz w:val="20"/>
                <w:szCs w:val="20"/>
              </w:rPr>
            </w:pPr>
            <w:r>
              <w:rPr>
                <w:rFonts w:hint="eastAsia" w:ascii="宋体" w:hAnsi="宋体" w:cs="宋体"/>
                <w:color w:val="000000"/>
                <w:kern w:val="0"/>
                <w:sz w:val="20"/>
                <w:szCs w:val="20"/>
              </w:rPr>
              <w:t>强力推进法学会实体化实战化建设，推进“法学会矛盾化解律师服务团”、“法律服务诊所”、“法律服务站”、“法律服务室”四级法律服务平台建设。紧紧围绕党委政府中心工作开展法学研究暨法治创新实践。积极参与法治宣传法律服务和基层社会治理。深化“互联网</w:t>
            </w:r>
            <w:r>
              <w:rPr>
                <w:rFonts w:ascii="宋体" w:hAnsi="宋体" w:cs="宋体"/>
                <w:color w:val="000000"/>
                <w:kern w:val="0"/>
                <w:sz w:val="20"/>
                <w:szCs w:val="20"/>
              </w:rPr>
              <w:t>+</w:t>
            </w:r>
            <w:r>
              <w:rPr>
                <w:rFonts w:hint="eastAsia" w:ascii="宋体" w:hAnsi="宋体" w:cs="宋体"/>
                <w:color w:val="000000"/>
                <w:kern w:val="0"/>
                <w:sz w:val="20"/>
                <w:szCs w:val="20"/>
              </w:rPr>
              <w:t>”法治宣传模式，抓好《法治资阳》期刊</w:t>
            </w:r>
            <w:r>
              <w:rPr>
                <w:rFonts w:hint="eastAsia" w:ascii="宋体" w:hAnsi="宋体" w:cs="宋体"/>
                <w:color w:val="000000"/>
                <w:spacing w:val="-4"/>
                <w:kern w:val="0"/>
                <w:sz w:val="20"/>
                <w:szCs w:val="20"/>
              </w:rPr>
              <w:t>编撰，提升法学会影响力。深化“百名法学家百场报告会”和“爱祖国、学法律、创和谐”青年普法志愿者法治文化基层行活动。推动法学会队伍壮大发展。</w:t>
            </w:r>
          </w:p>
        </w:tc>
        <w:tc>
          <w:tcPr>
            <w:tcW w:w="3540"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restart"/>
            <w:noWrap w:val="0"/>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年度总体目标</w:t>
            </w:r>
          </w:p>
        </w:tc>
        <w:tc>
          <w:tcPr>
            <w:tcW w:w="199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维护机关正常运转支出</w:t>
            </w:r>
          </w:p>
        </w:tc>
        <w:tc>
          <w:tcPr>
            <w:tcW w:w="2415" w:type="dxa"/>
            <w:gridSpan w:val="2"/>
            <w:noWrap w:val="0"/>
            <w:vAlign w:val="center"/>
          </w:tcPr>
          <w:p>
            <w:pPr>
              <w:widowControl/>
              <w:textAlignment w:val="center"/>
              <w:rPr>
                <w:rFonts w:ascii="宋体" w:cs="Times New Roman"/>
                <w:color w:val="000000"/>
                <w:kern w:val="0"/>
                <w:sz w:val="20"/>
                <w:szCs w:val="20"/>
              </w:rPr>
            </w:pPr>
            <w:r>
              <w:rPr>
                <w:rFonts w:hint="eastAsia" w:ascii="宋体" w:hAnsi="宋体" w:cs="宋体"/>
                <w:color w:val="000000"/>
                <w:kern w:val="0"/>
                <w:sz w:val="20"/>
                <w:szCs w:val="20"/>
              </w:rPr>
              <w:t>完成委机关内外工作联系和综合协调工作；协助领导组织政法系统及委机关的重大活动；调查研究全市政法工作全局性的方针、政策性问题和重大理论问题；掌握全市政法工作动态和社会治安形势，提出全市有关政法工作全局性问题的意见和建议；组织、指导政法系统调研工作，起草政法工作有关文件、工作计划、领导讲话等材料；收集和报送县（区）政法部门重要信息，圆满完成信息目标任务；负责办理</w:t>
            </w:r>
            <w:r>
              <w:rPr>
                <w:rFonts w:hint="eastAsia" w:ascii="宋体" w:hAnsi="宋体" w:cs="宋体"/>
                <w:color w:val="000000"/>
                <w:spacing w:val="-10"/>
                <w:kern w:val="0"/>
                <w:sz w:val="20"/>
                <w:szCs w:val="20"/>
              </w:rPr>
              <w:t>机关文电、会务、会议纪要、普法、保密、档案、后勤、接待和财务管理及安全工作。</w:t>
            </w:r>
          </w:p>
        </w:tc>
        <w:tc>
          <w:tcPr>
            <w:tcW w:w="3540"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199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执法督查督办工作</w:t>
            </w:r>
          </w:p>
        </w:tc>
        <w:tc>
          <w:tcPr>
            <w:tcW w:w="2415" w:type="dxa"/>
            <w:gridSpan w:val="2"/>
            <w:noWrap w:val="0"/>
            <w:vAlign w:val="center"/>
          </w:tcPr>
          <w:p>
            <w:pPr>
              <w:widowControl/>
              <w:textAlignment w:val="center"/>
              <w:rPr>
                <w:rFonts w:ascii="宋体" w:cs="Times New Roman"/>
                <w:color w:val="000000"/>
                <w:kern w:val="0"/>
                <w:sz w:val="20"/>
                <w:szCs w:val="20"/>
              </w:rPr>
            </w:pPr>
            <w:r>
              <w:rPr>
                <w:rFonts w:hint="eastAsia" w:ascii="宋体" w:hAnsi="宋体" w:cs="宋体"/>
                <w:color w:val="000000"/>
                <w:kern w:val="0"/>
                <w:sz w:val="20"/>
                <w:szCs w:val="20"/>
              </w:rPr>
              <w:t>督查、检查政法工作方针、政策和各项工作部署的贯彻落实；依法指导、检查和监督政法各部门的执法活动，结合实际研究制定公正廉洁执法，确保中央、省、市政令的具体实施；协调有重大影响的大要案件和政策性强或有争议的重大疑难案件；研究司法实践中适用法律和执法活动中的新情况、新问题，提出解决问题的意见和建议；督办领导批示的重要案件和工作事项；协调和督查处理人民群众的重大控告和申诉。</w:t>
            </w:r>
          </w:p>
        </w:tc>
        <w:tc>
          <w:tcPr>
            <w:tcW w:w="3540"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1995"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政法队伍建设工作</w:t>
            </w:r>
          </w:p>
        </w:tc>
        <w:tc>
          <w:tcPr>
            <w:tcW w:w="2415" w:type="dxa"/>
            <w:gridSpan w:val="2"/>
            <w:noWrap w:val="0"/>
            <w:vAlign w:val="center"/>
          </w:tcPr>
          <w:p>
            <w:pPr>
              <w:widowControl/>
              <w:textAlignment w:val="center"/>
              <w:rPr>
                <w:rFonts w:ascii="宋体" w:cs="Times New Roman"/>
                <w:color w:val="000000"/>
                <w:kern w:val="0"/>
                <w:sz w:val="20"/>
                <w:szCs w:val="20"/>
              </w:rPr>
            </w:pPr>
            <w:r>
              <w:rPr>
                <w:rFonts w:hint="eastAsia" w:ascii="宋体" w:hAnsi="宋体" w:cs="宋体"/>
                <w:color w:val="000000"/>
                <w:kern w:val="0"/>
                <w:sz w:val="20"/>
                <w:szCs w:val="20"/>
              </w:rPr>
              <w:t>加强政法系统理想信念教育，并督促指导政法各部门抓落实，适时提出加强和改进政法系统政治思想工作的对策措施，指导和协调政法部门政治思想工作；提出加强和推动政法部门领导班子建设队伍建设的意见建议，办理政法委协助市委和市委组织部考察、管理政法系统副县级以上的领导干部有关工作事项，加强市级政法各部门副县级以上干部和县（区）政法委副书记批复管理水平；指导各县（区）委政法委自身建设；指导政法队伍教育培训、作风建设；抓好本机关党建工作和职工思想政治教育；抓好政法宣传工作，不断提升政法机关社会沟通能力；抓好政法系统作风巡察工作，抓好委机关的纪检工作，督促指导政法各部门抓好纪检监察工作。</w:t>
            </w:r>
          </w:p>
        </w:tc>
        <w:tc>
          <w:tcPr>
            <w:tcW w:w="3540" w:type="dxa"/>
            <w:gridSpan w:val="2"/>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40"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年度绩效指标</w:t>
            </w:r>
          </w:p>
        </w:tc>
        <w:tc>
          <w:tcPr>
            <w:tcW w:w="832" w:type="dxa"/>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一级指标</w:t>
            </w:r>
          </w:p>
        </w:tc>
        <w:tc>
          <w:tcPr>
            <w:tcW w:w="1163" w:type="dxa"/>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二级指标</w:t>
            </w:r>
          </w:p>
        </w:tc>
        <w:tc>
          <w:tcPr>
            <w:tcW w:w="1245" w:type="dxa"/>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三级指标</w:t>
            </w:r>
          </w:p>
        </w:tc>
        <w:tc>
          <w:tcPr>
            <w:tcW w:w="1170" w:type="dxa"/>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预算指标值</w:t>
            </w:r>
            <w:r>
              <w:rPr>
                <w:rFonts w:ascii="宋体" w:hAnsi="宋体" w:cs="宋体"/>
                <w:color w:val="000000"/>
                <w:kern w:val="0"/>
                <w:sz w:val="20"/>
                <w:szCs w:val="20"/>
              </w:rPr>
              <w:t>(</w:t>
            </w:r>
            <w:r>
              <w:rPr>
                <w:rFonts w:hint="eastAsia" w:ascii="宋体" w:hAnsi="宋体" w:cs="宋体"/>
                <w:color w:val="000000"/>
                <w:kern w:val="0"/>
                <w:sz w:val="20"/>
                <w:szCs w:val="20"/>
              </w:rPr>
              <w:t>包含数字及文字描述</w:t>
            </w:r>
            <w:r>
              <w:rPr>
                <w:rFonts w:ascii="宋体" w:hAnsi="宋体" w:cs="宋体"/>
                <w:color w:val="000000"/>
                <w:kern w:val="0"/>
                <w:sz w:val="20"/>
                <w:szCs w:val="20"/>
              </w:rPr>
              <w:t>)</w:t>
            </w:r>
          </w:p>
        </w:tc>
        <w:tc>
          <w:tcPr>
            <w:tcW w:w="1378" w:type="dxa"/>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预算指标值执行结果</w:t>
            </w:r>
            <w:r>
              <w:rPr>
                <w:rFonts w:ascii="宋体" w:hAnsi="宋体" w:cs="宋体"/>
                <w:color w:val="000000"/>
                <w:kern w:val="0"/>
                <w:sz w:val="20"/>
                <w:szCs w:val="20"/>
              </w:rPr>
              <w:t>(</w:t>
            </w:r>
            <w:r>
              <w:rPr>
                <w:rFonts w:hint="eastAsia" w:ascii="宋体" w:hAnsi="宋体" w:cs="宋体"/>
                <w:color w:val="000000"/>
                <w:kern w:val="0"/>
                <w:sz w:val="20"/>
                <w:szCs w:val="20"/>
              </w:rPr>
              <w:t>包含数字及文字描述</w:t>
            </w:r>
            <w:r>
              <w:rPr>
                <w:rFonts w:ascii="宋体" w:hAnsi="宋体" w:cs="宋体"/>
                <w:color w:val="000000"/>
                <w:kern w:val="0"/>
                <w:sz w:val="20"/>
                <w:szCs w:val="20"/>
              </w:rPr>
              <w:t>)</w:t>
            </w:r>
          </w:p>
        </w:tc>
        <w:tc>
          <w:tcPr>
            <w:tcW w:w="2162" w:type="dxa"/>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完成</w:t>
            </w:r>
          </w:p>
          <w:p>
            <w:pPr>
              <w:widowControl/>
              <w:jc w:val="center"/>
              <w:rPr>
                <w:rFonts w:ascii="宋体" w:cs="Times New Roman"/>
                <w:color w:val="000000"/>
                <w:kern w:val="0"/>
                <w:sz w:val="20"/>
                <w:szCs w:val="20"/>
              </w:rPr>
            </w:pPr>
            <w:r>
              <w:rPr>
                <w:rFonts w:hint="eastAsia" w:ascii="宋体" w:hAnsi="宋体" w:cs="宋体"/>
                <w:color w:val="000000"/>
                <w:kern w:val="0"/>
                <w:sz w:val="20"/>
                <w:szCs w:val="20"/>
              </w:rPr>
              <w:t>指标</w:t>
            </w:r>
          </w:p>
        </w:tc>
        <w:tc>
          <w:tcPr>
            <w:tcW w:w="1163" w:type="dxa"/>
            <w:vMerge w:val="restart"/>
            <w:noWrap w:val="0"/>
            <w:vAlign w:val="center"/>
          </w:tcPr>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数量</w:t>
            </w:r>
          </w:p>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指标</w:t>
            </w: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报送法学研究论文</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100</w:t>
            </w:r>
            <w:r>
              <w:rPr>
                <w:rFonts w:hint="eastAsia" w:ascii="宋体" w:hAnsi="宋体" w:cs="宋体"/>
                <w:color w:val="000000"/>
                <w:kern w:val="0"/>
                <w:sz w:val="20"/>
                <w:szCs w:val="20"/>
              </w:rPr>
              <w:t>篇</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完成预算≥</w:t>
            </w:r>
            <w:r>
              <w:rPr>
                <w:rFonts w:ascii="宋体" w:hAnsi="宋体" w:cs="宋体"/>
                <w:color w:val="000000"/>
                <w:kern w:val="0"/>
                <w:sz w:val="20"/>
                <w:szCs w:val="20"/>
              </w:rPr>
              <w:t>100</w:t>
            </w:r>
            <w:r>
              <w:rPr>
                <w:rFonts w:hint="eastAsia" w:ascii="宋体" w:hAnsi="宋体" w:cs="宋体"/>
                <w:color w:val="000000"/>
                <w:kern w:val="0"/>
                <w:sz w:val="20"/>
                <w:szCs w:val="20"/>
              </w:rPr>
              <w:t>篇的指标值</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村（社区）法律服务室</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80%</w:t>
            </w:r>
            <w:r>
              <w:rPr>
                <w:rFonts w:hint="eastAsia" w:ascii="宋体" w:hAnsi="宋体" w:cs="宋体"/>
                <w:color w:val="000000"/>
                <w:kern w:val="0"/>
                <w:sz w:val="20"/>
                <w:szCs w:val="20"/>
              </w:rPr>
              <w:t>覆盖率</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村（社区）法律服务室完成</w:t>
            </w:r>
            <w:r>
              <w:rPr>
                <w:rFonts w:ascii="宋体" w:hAnsi="宋体" w:cs="宋体"/>
                <w:color w:val="000000"/>
                <w:kern w:val="0"/>
                <w:sz w:val="20"/>
                <w:szCs w:val="20"/>
              </w:rPr>
              <w:t>80%</w:t>
            </w:r>
            <w:r>
              <w:rPr>
                <w:rFonts w:hint="eastAsia" w:ascii="宋体" w:hAnsi="宋体" w:cs="宋体"/>
                <w:color w:val="000000"/>
                <w:kern w:val="0"/>
                <w:sz w:val="20"/>
                <w:szCs w:val="20"/>
              </w:rPr>
              <w:t>覆盖率　</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法律服务团</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完成法学会矛盾化解律师服务团组建并运行</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完成法学会矛盾化解律师服务团组建并运行</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法律服务诊所</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县区实现全覆盖</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法律服务诊所县区实现全覆盖</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乡镇服务服务站</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100%</w:t>
            </w:r>
            <w:r>
              <w:rPr>
                <w:rFonts w:hint="eastAsia" w:ascii="宋体" w:hAnsi="宋体" w:cs="宋体"/>
                <w:color w:val="000000"/>
                <w:kern w:val="0"/>
                <w:sz w:val="20"/>
                <w:szCs w:val="20"/>
              </w:rPr>
              <w:t>覆盖率</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乡镇服务服务站完成</w:t>
            </w:r>
            <w:r>
              <w:rPr>
                <w:rFonts w:ascii="宋体" w:hAnsi="宋体" w:cs="宋体"/>
                <w:color w:val="000000"/>
                <w:kern w:val="0"/>
                <w:sz w:val="20"/>
                <w:szCs w:val="20"/>
              </w:rPr>
              <w:t>100%</w:t>
            </w:r>
            <w:r>
              <w:rPr>
                <w:rFonts w:hint="eastAsia" w:ascii="宋体" w:hAnsi="宋体" w:cs="宋体"/>
                <w:color w:val="000000"/>
                <w:kern w:val="0"/>
                <w:sz w:val="20"/>
                <w:szCs w:val="20"/>
              </w:rPr>
              <w:t>覆盖率</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“百名法学家百场报告会”市级组委会主办</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w:t>
            </w:r>
            <w:r>
              <w:rPr>
                <w:rFonts w:hint="eastAsia" w:ascii="宋体" w:hAnsi="宋体" w:cs="宋体"/>
                <w:color w:val="000000"/>
                <w:kern w:val="0"/>
                <w:sz w:val="20"/>
                <w:szCs w:val="20"/>
              </w:rPr>
              <w:t>场</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“百名法学家百场报告会”市级组委会主办≥</w:t>
            </w:r>
            <w:r>
              <w:rPr>
                <w:rFonts w:ascii="宋体" w:hAnsi="宋体" w:cs="宋体"/>
                <w:color w:val="000000"/>
                <w:kern w:val="0"/>
                <w:sz w:val="20"/>
                <w:szCs w:val="20"/>
              </w:rPr>
              <w:t>5</w:t>
            </w:r>
            <w:r>
              <w:rPr>
                <w:rFonts w:hint="eastAsia" w:ascii="宋体" w:hAnsi="宋体" w:cs="宋体"/>
                <w:color w:val="000000"/>
                <w:kern w:val="0"/>
                <w:sz w:val="20"/>
                <w:szCs w:val="20"/>
              </w:rPr>
              <w:t>场　</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restart"/>
            <w:noWrap w:val="0"/>
            <w:vAlign w:val="center"/>
          </w:tcPr>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质量</w:t>
            </w:r>
          </w:p>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指标</w:t>
            </w: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《法治资阳》期刊、法学研究</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严格正确的政治方向</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《法治资阳》期刊、法学研究　严格正确的政治方向</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县乡村三级法律服务平台</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县乡村三级法律服务平台达到省法学会标准</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县乡村三级法律服务平台达到省法学会标准</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noWrap w:val="0"/>
            <w:vAlign w:val="center"/>
          </w:tcPr>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时效</w:t>
            </w:r>
          </w:p>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指标</w:t>
            </w: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法学会工作</w:t>
            </w:r>
          </w:p>
        </w:tc>
        <w:tc>
          <w:tcPr>
            <w:tcW w:w="1170" w:type="dxa"/>
            <w:noWrap w:val="0"/>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年底前全面完成</w:t>
            </w:r>
          </w:p>
        </w:tc>
        <w:tc>
          <w:tcPr>
            <w:tcW w:w="1378" w:type="dxa"/>
            <w:noWrap w:val="0"/>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年底前全面完成年初制定的目标任务　</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noWrap w:val="0"/>
            <w:vAlign w:val="center"/>
          </w:tcPr>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成本</w:t>
            </w:r>
          </w:p>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指标</w:t>
            </w: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法学会工作</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万工作经费</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年底完成工作经费使用</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效益</w:t>
            </w:r>
          </w:p>
          <w:p>
            <w:pPr>
              <w:widowControl/>
              <w:jc w:val="center"/>
              <w:rPr>
                <w:rFonts w:ascii="宋体" w:cs="Times New Roman"/>
                <w:color w:val="000000"/>
                <w:kern w:val="0"/>
                <w:sz w:val="20"/>
                <w:szCs w:val="20"/>
              </w:rPr>
            </w:pPr>
            <w:r>
              <w:rPr>
                <w:rFonts w:hint="eastAsia" w:ascii="宋体" w:hAnsi="宋体" w:cs="宋体"/>
                <w:color w:val="000000"/>
                <w:kern w:val="0"/>
                <w:sz w:val="20"/>
                <w:szCs w:val="20"/>
              </w:rPr>
              <w:t>指标</w:t>
            </w:r>
          </w:p>
        </w:tc>
        <w:tc>
          <w:tcPr>
            <w:tcW w:w="1163" w:type="dxa"/>
            <w:vMerge w:val="restart"/>
            <w:noWrap w:val="0"/>
            <w:vAlign w:val="center"/>
          </w:tcPr>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社会效益指标</w:t>
            </w: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法学会工作</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扩大影响面、提升影响力</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扩大了影响面、提升影响力　</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扫黑除恶的促进作用</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提升群众获得感、幸福感、安全感</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　提升了群众获得感、幸福感、安全感</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restart"/>
            <w:noWrap w:val="0"/>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满意度</w:t>
            </w:r>
          </w:p>
          <w:p>
            <w:pPr>
              <w:widowControl/>
              <w:jc w:val="center"/>
              <w:rPr>
                <w:rFonts w:ascii="宋体" w:cs="Times New Roman"/>
                <w:color w:val="000000"/>
                <w:kern w:val="0"/>
                <w:sz w:val="20"/>
                <w:szCs w:val="20"/>
              </w:rPr>
            </w:pPr>
            <w:r>
              <w:rPr>
                <w:rFonts w:hint="eastAsia" w:ascii="宋体" w:hAnsi="宋体" w:cs="宋体"/>
                <w:color w:val="000000"/>
                <w:kern w:val="0"/>
                <w:sz w:val="20"/>
                <w:szCs w:val="20"/>
              </w:rPr>
              <w:t>指标</w:t>
            </w:r>
          </w:p>
        </w:tc>
        <w:tc>
          <w:tcPr>
            <w:tcW w:w="1163" w:type="dxa"/>
            <w:vMerge w:val="restart"/>
            <w:noWrap w:val="0"/>
            <w:vAlign w:val="center"/>
          </w:tcPr>
          <w:p>
            <w:pPr>
              <w:widowControl/>
              <w:spacing w:line="380" w:lineRule="exact"/>
              <w:jc w:val="center"/>
              <w:rPr>
                <w:rFonts w:ascii="宋体" w:cs="Times New Roman"/>
                <w:color w:val="000000"/>
                <w:kern w:val="0"/>
                <w:sz w:val="20"/>
                <w:szCs w:val="20"/>
              </w:rPr>
            </w:pPr>
            <w:r>
              <w:rPr>
                <w:rFonts w:hint="eastAsia" w:ascii="宋体" w:hAnsi="宋体" w:cs="宋体"/>
                <w:color w:val="000000"/>
                <w:kern w:val="0"/>
                <w:sz w:val="20"/>
                <w:szCs w:val="20"/>
              </w:rPr>
              <w:t>满意度指标</w:t>
            </w: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法学会工作满意度</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提升群众法律意识、树立法治信仰</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提升了群众法律意识、树立法治信仰　</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0" w:type="dxa"/>
            <w:vMerge w:val="continue"/>
            <w:noWrap w:val="0"/>
            <w:vAlign w:val="center"/>
          </w:tcPr>
          <w:p>
            <w:pPr>
              <w:widowControl/>
              <w:jc w:val="left"/>
              <w:rPr>
                <w:rFonts w:ascii="宋体" w:cs="Times New Roman"/>
                <w:color w:val="000000"/>
                <w:kern w:val="0"/>
                <w:sz w:val="20"/>
                <w:szCs w:val="20"/>
              </w:rPr>
            </w:pPr>
          </w:p>
        </w:tc>
        <w:tc>
          <w:tcPr>
            <w:tcW w:w="832" w:type="dxa"/>
            <w:vMerge w:val="continue"/>
            <w:noWrap w:val="0"/>
            <w:vAlign w:val="center"/>
          </w:tcPr>
          <w:p>
            <w:pPr>
              <w:widowControl/>
              <w:jc w:val="left"/>
              <w:rPr>
                <w:rFonts w:ascii="宋体" w:cs="Times New Roman"/>
                <w:color w:val="000000"/>
                <w:kern w:val="0"/>
                <w:sz w:val="20"/>
                <w:szCs w:val="20"/>
              </w:rPr>
            </w:pPr>
          </w:p>
        </w:tc>
        <w:tc>
          <w:tcPr>
            <w:tcW w:w="1163" w:type="dxa"/>
            <w:vMerge w:val="continue"/>
            <w:noWrap w:val="0"/>
            <w:vAlign w:val="center"/>
          </w:tcPr>
          <w:p>
            <w:pPr>
              <w:widowControl/>
              <w:spacing w:line="380" w:lineRule="exact"/>
              <w:jc w:val="left"/>
              <w:rPr>
                <w:rFonts w:ascii="宋体" w:cs="Times New Roman"/>
                <w:color w:val="000000"/>
                <w:kern w:val="0"/>
                <w:sz w:val="20"/>
                <w:szCs w:val="20"/>
              </w:rPr>
            </w:pPr>
          </w:p>
        </w:tc>
        <w:tc>
          <w:tcPr>
            <w:tcW w:w="1245"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扫黑除恶满意度</w:t>
            </w:r>
          </w:p>
        </w:tc>
        <w:tc>
          <w:tcPr>
            <w:tcW w:w="1170"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提升群众满意度</w:t>
            </w:r>
          </w:p>
        </w:tc>
        <w:tc>
          <w:tcPr>
            <w:tcW w:w="1378" w:type="dxa"/>
            <w:noWrap w:val="0"/>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提升了群众满意度　</w:t>
            </w:r>
          </w:p>
        </w:tc>
        <w:tc>
          <w:tcPr>
            <w:tcW w:w="2162" w:type="dxa"/>
            <w:noWrap w:val="0"/>
            <w:vAlign w:val="center"/>
          </w:tcPr>
          <w:p>
            <w:pPr>
              <w:widowControl/>
              <w:spacing w:line="380" w:lineRule="exact"/>
              <w:jc w:val="left"/>
              <w:rPr>
                <w:rFonts w:ascii="宋体" w:cs="Times New Roman"/>
                <w:color w:val="000000"/>
                <w:kern w:val="0"/>
                <w:sz w:val="20"/>
                <w:szCs w:val="20"/>
              </w:rPr>
            </w:pPr>
            <w:r>
              <w:rPr>
                <w:rFonts w:hint="eastAsia" w:ascii="宋体" w:hAnsi="宋体" w:cs="宋体"/>
                <w:color w:val="000000"/>
                <w:kern w:val="0"/>
                <w:sz w:val="20"/>
                <w:szCs w:val="20"/>
              </w:rPr>
              <w:t>无偏差</w:t>
            </w:r>
          </w:p>
        </w:tc>
      </w:tr>
    </w:tbl>
    <w:p>
      <w:pPr>
        <w:pStyle w:val="2"/>
        <w:spacing w:before="93"/>
        <w:rPr>
          <w:rFonts w:hint="eastAsia" w:ascii="仿宋" w:hAnsi="仿宋" w:eastAsia="仿宋" w:cs="仿宋"/>
          <w:sz w:val="32"/>
          <w:szCs w:val="32"/>
          <w:shd w:val="clear" w:color="auto" w:fill="FFFFFF"/>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YTA5N2I1NDlmYzA0ODEwNmRkZDE4ZTFkZWQxMDQifQ=="/>
  </w:docVars>
  <w:rsids>
    <w:rsidRoot w:val="12664A6C"/>
    <w:rsid w:val="126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beforeLines="30"/>
    </w:pPr>
    <w:rPr>
      <w:rFonts w:ascii="仿宋_GB2312" w:eastAsia="仿宋_GB2312"/>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2022-10-12T03:21:00Z</dcterms:created>
  <dc:creator>lenovo</dc:creator>
  <cp:lastModifiedBy>lenovo</cp:lastModifiedBy>
  <dcterms:modified xsi:type="dcterms:W3CDTF">2022-10-12T03:21:20Z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F746C813101B444CA28FDB1371681358</vt:lpwstr>
  </property>
</Properties>
</file>