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方正黑体简体"/>
          <w:sz w:val="32"/>
          <w:szCs w:val="32"/>
          <w:lang w:val="en-US" w:eastAsia="zh-CN"/>
        </w:rPr>
      </w:pPr>
      <w:r>
        <w:rPr>
          <w:rFonts w:eastAsia="方正黑体简体"/>
          <w:sz w:val="32"/>
          <w:szCs w:val="32"/>
        </w:rPr>
        <w:t>附件</w:t>
      </w:r>
      <w:r>
        <w:rPr>
          <w:rFonts w:hint="eastAsia" w:eastAsia="方正黑体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color w:val="000000"/>
          <w:spacing w:val="-12"/>
          <w:kern w:val="0"/>
          <w:sz w:val="40"/>
          <w:szCs w:val="40"/>
        </w:rPr>
      </w:pPr>
      <w:bookmarkStart w:id="0" w:name="_GoBack"/>
      <w:r>
        <w:rPr>
          <w:rFonts w:eastAsia="方正小标宋简体"/>
          <w:color w:val="000000"/>
          <w:spacing w:val="-12"/>
          <w:kern w:val="0"/>
          <w:sz w:val="40"/>
          <w:szCs w:val="40"/>
        </w:rPr>
        <w:t>20</w:t>
      </w:r>
      <w:r>
        <w:rPr>
          <w:rFonts w:hint="eastAsia" w:eastAsia="方正小标宋简体"/>
          <w:color w:val="000000"/>
          <w:spacing w:val="-12"/>
          <w:kern w:val="0"/>
          <w:sz w:val="40"/>
          <w:szCs w:val="40"/>
        </w:rPr>
        <w:t>21</w:t>
      </w:r>
      <w:r>
        <w:rPr>
          <w:rFonts w:eastAsia="方正小标宋简体"/>
          <w:color w:val="000000"/>
          <w:spacing w:val="-12"/>
          <w:kern w:val="0"/>
          <w:sz w:val="40"/>
          <w:szCs w:val="40"/>
        </w:rPr>
        <w:t>年度市本级项目支出绩效目标完成情况表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tbl>
      <w:tblPr>
        <w:tblStyle w:val="3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47"/>
        <w:gridCol w:w="353"/>
        <w:gridCol w:w="1137"/>
        <w:gridCol w:w="1667"/>
        <w:gridCol w:w="1240"/>
        <w:gridCol w:w="922"/>
        <w:gridCol w:w="452"/>
        <w:gridCol w:w="1451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70" w:hRule="atLeast"/>
        </w:trPr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项目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维稳工作经费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70" w:hRule="atLeas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项目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类型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产业发展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民生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保障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基础设施</w:t>
            </w: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行政运行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70" w:hRule="atLeast"/>
        </w:trPr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部门（单位）名称</w:t>
            </w:r>
          </w:p>
        </w:tc>
        <w:tc>
          <w:tcPr>
            <w:tcW w:w="524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中共资阳市委政法委员　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预算单位编码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7" w:hRule="atLeas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预算执行情况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项目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预算额(百元)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执行额(百元)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当年结转结余额(百元)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结转结余率%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结转结余变动率%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7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合   计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8810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8810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7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财政拨款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8810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8810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3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其他资金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13" w:hRule="atLeas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财政拨款结构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项目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一般公共预算安排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政府性基金预算安排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国有资本经营预算安排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社保基金预算安排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4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预算额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(百元)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8810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8810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4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执行额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(百元)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8810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8810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4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当年结转结余额(百元)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4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结转结余率%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4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结转结余变动率%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4" w:hRule="atLeas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年度总体目标</w:t>
            </w:r>
          </w:p>
        </w:tc>
        <w:tc>
          <w:tcPr>
            <w:tcW w:w="233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预算总体目标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预算总体目标执行结果</w:t>
            </w: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预算总体目标与预算总体目标执行结果偏差情况及原因分析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7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3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政治社会大局持续稳定，严防影响国家政治安全和社会稳定的重大事件、严防暴力恐怖袭击和个人极端暴力案事件、严防大规模群体性事件、严防重大安全事故和网络舆情事件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年度绩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效指标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三级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预算指标值(包含数字及文字描述)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预算指标值执行结果(包含数字及文字描述)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预算指标值与预算指标值执行结果偏差情况及原因分析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项目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排查化解社会重大风险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“三张清单”矛盾问题化解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170件以上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质量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四川省“两会”安保维稳工作、全国“两会”安保维稳工作、建党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100周年系列安保维稳工作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无到省进京集访，未发生有影响的大规模群体性事件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时效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成本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667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矛盾纠纷多元化解协调机制建设</w:t>
            </w:r>
          </w:p>
        </w:tc>
        <w:tc>
          <w:tcPr>
            <w:tcW w:w="1240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基层矛盾纠纷多元化解成功率达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98%以上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hint="eastAsia"/>
          <w:color w:val="000000"/>
          <w:kern w:val="0"/>
          <w:sz w:val="18"/>
          <w:szCs w:val="18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12"/>
          <w:kern w:val="0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000000"/>
          <w:spacing w:val="-12"/>
          <w:kern w:val="0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000000"/>
          <w:spacing w:val="-12"/>
          <w:kern w:val="0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000000"/>
          <w:spacing w:val="-12"/>
          <w:kern w:val="0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000000"/>
          <w:spacing w:val="-12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YTA5N2I1NDlmYzA0ODEwNmRkZDE4ZTFkZWQxMDQifQ=="/>
  </w:docVars>
  <w:rsids>
    <w:rsidRoot w:val="3EFF0FF9"/>
    <w:rsid w:val="3E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Lines="30"/>
    </w:pPr>
    <w:rPr>
      <w:rFonts w:ascii="仿宋_GB2312" w:eastAsia="仿宋_GB2312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2022-10-12T03:46:00Z</dcterms:created>
  <dc:creator>lenovo</dc:creator>
  <cp:lastModifiedBy>lenovo</cp:lastModifiedBy>
  <dcterms:modified xsi:type="dcterms:W3CDTF">2022-10-12T03:46:45Z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D2C68497EDB24DD2A233DA26F71800D8</vt:lpwstr>
  </property>
</Properties>
</file>