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rPr>
          <w:rFonts w:ascii="宋体" w:hAnsi="宋体" w:eastAsia="黑体"/>
          <w:szCs w:val="32"/>
        </w:rPr>
      </w:pPr>
      <w:r>
        <w:rPr>
          <w:rFonts w:ascii="宋体" w:hAnsi="宋体" w:eastAsia="黑体"/>
          <w:szCs w:val="32"/>
        </w:rPr>
        <w:t>附件2</w:t>
      </w:r>
    </w:p>
    <w:p>
      <w:pPr>
        <w:adjustRightInd w:val="0"/>
        <w:spacing w:line="590" w:lineRule="exact"/>
        <w:ind w:firstLine="640" w:firstLineChars="200"/>
        <w:rPr>
          <w:rFonts w:ascii="宋体" w:hAnsi="宋体" w:eastAsia="仿宋_GB2312"/>
          <w:szCs w:val="32"/>
        </w:rPr>
      </w:pPr>
    </w:p>
    <w:p>
      <w:pPr>
        <w:adjustRightInd w:val="0"/>
        <w:spacing w:line="59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2022年度平安资阳优秀新闻作品评选</w:t>
      </w:r>
    </w:p>
    <w:p>
      <w:pPr>
        <w:adjustRightInd w:val="0"/>
        <w:spacing w:line="59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参评作品报送须知</w:t>
      </w:r>
    </w:p>
    <w:bookmarkEnd w:id="0"/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黑体_GBK" w:cs="方正黑体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一、作品要求</w:t>
      </w: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参评作品发表的时间为2022年1月1日至2022年12月31日。</w:t>
      </w: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color w:val="000000"/>
          <w:sz w:val="33"/>
          <w:szCs w:val="33"/>
        </w:rPr>
      </w:pPr>
      <w:r>
        <w:rPr>
          <w:rFonts w:hint="eastAsia" w:ascii="宋体" w:hAnsi="宋体" w:eastAsia="方正仿宋_GBK" w:cs="方正仿宋_GBK"/>
          <w:color w:val="000000"/>
          <w:sz w:val="33"/>
          <w:szCs w:val="33"/>
        </w:rPr>
        <w:t>具有直接报送作品参加复评资格的报刊、通讯社、广播电台、电视台，最多报送1件系列（连续、组合）报道。</w:t>
      </w:r>
      <w:r>
        <w:rPr>
          <w:rFonts w:hint="eastAsia" w:ascii="宋体" w:hAnsi="宋体" w:eastAsia="方正仿宋_GBK" w:cs="方正仿宋_GBK"/>
          <w:b/>
          <w:bCs/>
          <w:color w:val="000000"/>
          <w:sz w:val="33"/>
          <w:szCs w:val="33"/>
        </w:rPr>
        <w:t>参评作品必须均为当地(川内)媒体刊（播）的作品，其中，市级媒体刊（播）作品的数量不得低于参评总量的1/3。</w:t>
      </w:r>
      <w:r>
        <w:rPr>
          <w:rFonts w:hint="eastAsia" w:ascii="宋体" w:hAnsi="宋体" w:eastAsia="方正仿宋_GBK" w:cs="方正仿宋_GBK"/>
          <w:color w:val="000000"/>
          <w:sz w:val="33"/>
          <w:szCs w:val="33"/>
        </w:rPr>
        <w:t>根据全国评选办公室要求，中央媒体刊（播）作品可报送参加省级评选，但不得推荐参加全国评选。</w:t>
      </w: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黑体_GBK" w:cs="方正黑体_GBK"/>
          <w:color w:val="000000"/>
          <w:sz w:val="33"/>
          <w:szCs w:val="33"/>
        </w:rPr>
      </w:pPr>
      <w:r>
        <w:rPr>
          <w:rFonts w:hint="eastAsia" w:ascii="宋体" w:hAnsi="宋体" w:eastAsia="方正黑体_GBK" w:cs="方正黑体_GBK"/>
          <w:color w:val="000000"/>
          <w:sz w:val="33"/>
          <w:szCs w:val="33"/>
        </w:rPr>
        <w:t>二、报送要求</w:t>
      </w:r>
    </w:p>
    <w:p>
      <w:pPr>
        <w:adjustRightInd w:val="0"/>
        <w:snapToGrid w:val="0"/>
        <w:spacing w:line="590" w:lineRule="exact"/>
        <w:ind w:firstLine="663" w:firstLineChars="200"/>
        <w:rPr>
          <w:rFonts w:hint="eastAsia" w:ascii="宋体" w:hAnsi="宋体" w:eastAsia="方正楷体_GBK" w:cs="方正楷体_GBK"/>
          <w:b/>
          <w:bCs/>
          <w:sz w:val="33"/>
          <w:szCs w:val="33"/>
        </w:rPr>
      </w:pPr>
      <w:r>
        <w:rPr>
          <w:rFonts w:hint="eastAsia" w:ascii="宋体" w:hAnsi="宋体" w:eastAsia="方正楷体_GBK" w:cs="方正楷体_GBK"/>
          <w:b/>
          <w:bCs/>
          <w:sz w:val="33"/>
          <w:szCs w:val="33"/>
        </w:rPr>
        <w:t>（一）纸质材料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加盖推荐单位公章的《推荐目录》（附件4）1份。同一项目的参评作品按照初评结果顺序填写。推荐参评作品数额不得超过《数额分配方案》（附件3）规定的分配数额，如超出分配数额，评选办公室将按《推荐目录》的顺序撤下排在后面的超额作品。</w:t>
      </w:r>
    </w:p>
    <w:p>
      <w:pPr>
        <w:adjustRightInd w:val="0"/>
        <w:snapToGrid w:val="0"/>
        <w:spacing w:line="590" w:lineRule="exact"/>
        <w:ind w:firstLine="663" w:firstLineChars="200"/>
        <w:rPr>
          <w:rFonts w:hint="eastAsia" w:ascii="宋体" w:hAnsi="宋体" w:eastAsia="方正楷体_GBK" w:cs="方正楷体_GBK"/>
          <w:b/>
          <w:bCs/>
          <w:sz w:val="33"/>
          <w:szCs w:val="33"/>
        </w:rPr>
      </w:pPr>
      <w:r>
        <w:rPr>
          <w:rFonts w:hint="eastAsia" w:ascii="宋体" w:hAnsi="宋体" w:eastAsia="方正楷体_GBK" w:cs="方正楷体_GBK"/>
          <w:b/>
          <w:bCs/>
          <w:sz w:val="33"/>
          <w:szCs w:val="33"/>
        </w:rPr>
        <w:t>（二）电子材料</w:t>
      </w:r>
    </w:p>
    <w:p>
      <w:pPr>
        <w:adjustRightInd w:val="0"/>
        <w:snapToGrid w:val="0"/>
        <w:spacing w:line="590" w:lineRule="exact"/>
        <w:ind w:left="627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1．《推荐目录》电子版。</w:t>
      </w:r>
    </w:p>
    <w:p>
      <w:pPr>
        <w:adjustRightInd w:val="0"/>
        <w:snapToGrid w:val="0"/>
        <w:spacing w:line="590" w:lineRule="exact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 xml:space="preserve">    2．《推荐表》电子版，所有参评作品须提交二维码（将参评作品原发网址生成二维码）。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3．文字类作品发表所在版面电子版（PDF文件）。</w:t>
      </w:r>
    </w:p>
    <w:p>
      <w:pPr>
        <w:pStyle w:val="2"/>
        <w:adjustRightInd w:val="0"/>
        <w:snapToGrid w:val="0"/>
        <w:spacing w:before="0" w:beforeAutospacing="0" w:after="0" w:afterAutospacing="0" w:line="590" w:lineRule="exact"/>
        <w:jc w:val="both"/>
        <w:rPr>
          <w:rFonts w:eastAsia="方正仿宋_GBK" w:cs="方正仿宋_GBK"/>
          <w:kern w:val="2"/>
          <w:sz w:val="33"/>
          <w:szCs w:val="33"/>
        </w:rPr>
      </w:pPr>
      <w:r>
        <w:rPr>
          <w:rFonts w:eastAsia="方正仿宋_GBK" w:cs="方正仿宋_GBK"/>
          <w:kern w:val="2"/>
          <w:sz w:val="33"/>
          <w:szCs w:val="33"/>
        </w:rPr>
        <w:t xml:space="preserve">    4．广播电台、电视台类作品原版播出作品复制为数据文件，文件名以参评项目+标题命名，如“广播专题 XXX”；系列（连续、组合）报道代表作的音视频文件须在文件名末端注明代表作序号，如“广播系列 XXX 代表作1”。广播作品复制为音质效果好的WAV或MP3格式文件；电视作品复制为高清晰的AVI或MP4格式文件。</w:t>
      </w:r>
    </w:p>
    <w:p>
      <w:pPr>
        <w:pStyle w:val="2"/>
        <w:adjustRightInd w:val="0"/>
        <w:snapToGrid w:val="0"/>
        <w:spacing w:before="0" w:beforeAutospacing="0" w:after="0" w:afterAutospacing="0" w:line="590" w:lineRule="exact"/>
        <w:jc w:val="both"/>
        <w:rPr>
          <w:rFonts w:eastAsia="方正仿宋_GBK" w:cs="方正仿宋_GBK"/>
          <w:kern w:val="2"/>
          <w:sz w:val="33"/>
          <w:szCs w:val="33"/>
        </w:rPr>
      </w:pPr>
      <w:r>
        <w:rPr>
          <w:rFonts w:eastAsia="方正仿宋_GBK" w:cs="方正仿宋_GBK"/>
          <w:kern w:val="2"/>
          <w:sz w:val="33"/>
          <w:szCs w:val="33"/>
        </w:rPr>
        <w:t xml:space="preserve">    5．《系列、连续、组合报道作品完整目录》电子版，系列报道、连续报道把整组报道划分为开头、中间和结尾3个阶段，从每个阶段中各选择1篇，共3篇为代表作；组合报道从整组报道中选择3篇代表作。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6．摄影类作品发表所在版面电子版（PDF文件），数字照片像素为1422×800至3558×2490之间，不小于1M的RGB模式JPEG文件。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7．媒体融合类作品，须在《推荐表》中“发布账号（APP）”栏填报规范名称；“社会效果”栏填写作品传播平台、渠道，以及作品点击量、转发量、受众参与度等情况，可另附策划文案。参评“移动直播”奖项，须附1份1000字以内的直播简介，包括直播意义、直播流程和规模、直播点设定和社会影响等内容。参评国际传播奖项的作品，应提供在境外媒体落地（转载、引用、采用）的网页、音频、视频等依据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8．外文和少数民族语言文字媒体参评作品，须附完整准确的中文译稿（电子版）。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9．</w:t>
      </w:r>
      <w:r>
        <w:rPr>
          <w:rFonts w:hint="eastAsia" w:ascii="宋体" w:hAnsi="宋体" w:eastAsia="方正仿宋_GBK" w:cs="方正仿宋_GBK"/>
          <w:spacing w:val="6"/>
          <w:sz w:val="33"/>
          <w:szCs w:val="33"/>
        </w:rPr>
        <w:t>各县（区）委政法委</w:t>
      </w:r>
      <w:r>
        <w:rPr>
          <w:rFonts w:hint="eastAsia" w:ascii="宋体" w:hAnsi="宋体" w:eastAsia="方正仿宋_GBK" w:cs="方正仿宋_GBK"/>
          <w:sz w:val="33"/>
          <w:szCs w:val="33"/>
        </w:rPr>
        <w:t>组织初评工作的情况。</w:t>
      </w:r>
    </w:p>
    <w:p>
      <w:pPr>
        <w:pStyle w:val="2"/>
        <w:adjustRightInd w:val="0"/>
        <w:snapToGrid w:val="0"/>
        <w:spacing w:before="0" w:beforeAutospacing="0" w:after="0" w:afterAutospacing="0" w:line="590" w:lineRule="exact"/>
        <w:jc w:val="both"/>
        <w:rPr>
          <w:rFonts w:eastAsia="方正仿宋_GBK" w:cs="方正仿宋_GBK"/>
          <w:sz w:val="33"/>
          <w:szCs w:val="33"/>
        </w:rPr>
      </w:pPr>
      <w:r>
        <w:rPr>
          <w:rFonts w:eastAsia="方正仿宋_GBK" w:cs="方正仿宋_GBK"/>
          <w:kern w:val="2"/>
          <w:sz w:val="33"/>
          <w:szCs w:val="33"/>
        </w:rPr>
        <w:t xml:space="preserve">    以上电子材料可直接发至专用邮箱，也可存储在U盘后寄送。</w:t>
      </w: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黑体_GBK" w:cs="方正黑体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三、报送方式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（一）所有参评作品的纸质和U盘材料请交换或快递至市平安建设优秀新闻作品评选办公室。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（二）请于2023年3月16日前完成初评推荐作品报送工作，逾期不报视为自动弃权。</w:t>
      </w:r>
    </w:p>
    <w:p>
      <w:pPr>
        <w:adjustRightInd w:val="0"/>
        <w:snapToGri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color w:val="000000"/>
          <w:spacing w:val="6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（三）</w:t>
      </w:r>
      <w:r>
        <w:rPr>
          <w:rFonts w:hint="eastAsia" w:ascii="宋体" w:hAnsi="宋体" w:eastAsia="方正仿宋_GBK" w:cs="方正仿宋_GBK"/>
          <w:color w:val="000000"/>
          <w:spacing w:val="6"/>
          <w:sz w:val="33"/>
          <w:szCs w:val="33"/>
        </w:rPr>
        <w:t>寄送地址：资阳市雁江区广场路3号市委政法委宣传指导科。邮政编码：641300；</w:t>
      </w: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联系人：钟小洪，联系电话：18228232676</w:t>
      </w:r>
      <w:r>
        <w:rPr>
          <w:rFonts w:hint="eastAsia" w:ascii="宋体" w:hAnsi="宋体" w:eastAsia="方正仿宋_GBK" w:cs="方正仿宋_GBK"/>
          <w:spacing w:val="6"/>
          <w:sz w:val="33"/>
          <w:szCs w:val="33"/>
        </w:rPr>
        <w:t>；宋秋菊，</w:t>
      </w:r>
      <w:r>
        <w:rPr>
          <w:rFonts w:hint="eastAsia" w:ascii="宋体" w:hAnsi="宋体" w:eastAsia="方正仿宋_GBK" w:cs="方正仿宋_GBK"/>
          <w:sz w:val="33"/>
          <w:szCs w:val="33"/>
        </w:rPr>
        <w:t>联系电话：028-26111650；</w:t>
      </w:r>
    </w:p>
    <w:p>
      <w:pPr>
        <w:adjustRightInd w:val="0"/>
        <w:spacing w:line="59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专用邮箱：461577809@qq.com。</w:t>
      </w:r>
    </w:p>
    <w:p>
      <w:r>
        <w:rPr>
          <w:rFonts w:hint="eastAsia" w:ascii="宋体" w:hAnsi="宋体" w:eastAsia="方正仿宋_GBK" w:cs="方正仿宋_GBK"/>
          <w:sz w:val="33"/>
          <w:szCs w:val="33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WEwMjJkYWI4NWRhNjdmMDY0OTMxYWE2OTJlNWIifQ=="/>
  </w:docVars>
  <w:rsids>
    <w:rsidRoot w:val="204A39AD"/>
    <w:rsid w:val="204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2023-03-09T00:55:00Z</dcterms:created>
  <dc:creator>Tu  Dou妈咪</dc:creator>
  <cp:lastModifiedBy>Tu  Dou妈咪</cp:lastModifiedBy>
  <dcterms:modified xsi:type="dcterms:W3CDTF">2023-03-09T00:55:52Z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7192F51818534BD3B5D31000AF35D4C5</vt:lpwstr>
  </property>
</Properties>
</file>