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F239E">
      <w:pPr>
        <w:ind w:firstLine="880" w:firstLineChars="200"/>
        <w:jc w:val="center"/>
        <w:outlineLvl w:val="0"/>
        <w:rPr>
          <w:rStyle w:val="13"/>
          <w:rFonts w:ascii="宋体" w:hAnsi="宋体" w:eastAsia="仿宋"/>
          <w:b w:val="0"/>
          <w:bCs w:val="0"/>
          <w:i/>
          <w:color w:val="000000"/>
          <w:kern w:val="2"/>
          <w:sz w:val="32"/>
          <w:szCs w:val="32"/>
          <w:highlight w:val="yellow"/>
        </w:rPr>
      </w:pPr>
      <w:bookmarkStart w:id="1" w:name="_GoBack"/>
      <w:bookmarkStart w:id="0" w:name="_Toc10416"/>
      <w:r>
        <w:rPr>
          <w:rFonts w:hint="eastAsia" w:ascii="宋体" w:hAnsi="宋体" w:eastAsia="黑体"/>
          <w:sz w:val="44"/>
          <w:szCs w:val="44"/>
        </w:rPr>
        <w:t>第</w:t>
      </w:r>
      <w:r>
        <w:rPr>
          <w:rStyle w:val="13"/>
          <w:rFonts w:hint="eastAsia" w:ascii="宋体" w:hAnsi="宋体" w:eastAsia="黑体"/>
          <w:b w:val="0"/>
        </w:rPr>
        <w:t xml:space="preserve">四部分 </w:t>
      </w:r>
      <w:r>
        <w:rPr>
          <w:rStyle w:val="13"/>
          <w:rFonts w:hint="eastAsia" w:ascii="宋体" w:hAnsi="宋体" w:eastAsia="黑体"/>
          <w:b w:val="0"/>
          <w:lang w:val="en-US" w:eastAsia="zh-CN"/>
        </w:rPr>
        <w:t xml:space="preserve">  </w:t>
      </w:r>
      <w:r>
        <w:rPr>
          <w:rStyle w:val="13"/>
          <w:rFonts w:hint="eastAsia" w:ascii="宋体" w:hAnsi="宋体" w:eastAsia="黑体"/>
          <w:b w:val="0"/>
        </w:rPr>
        <w:t>附件</w:t>
      </w:r>
      <w:bookmarkEnd w:id="0"/>
    </w:p>
    <w:bookmarkEnd w:id="1"/>
    <w:p w14:paraId="000317F8">
      <w:pPr>
        <w:spacing w:line="600" w:lineRule="exact"/>
        <w:jc w:val="left"/>
        <w:rPr>
          <w:rFonts w:hint="default" w:ascii="宋体" w:hAnsi="宋体" w:eastAsia="方正小标宋简体" w:cs="方正小标宋简体"/>
          <w:color w:val="000000"/>
          <w:spacing w:val="-12"/>
          <w:kern w:val="0"/>
          <w:sz w:val="32"/>
          <w:szCs w:val="32"/>
          <w:lang w:val="en-US" w:eastAsia="zh-CN"/>
        </w:rPr>
      </w:pPr>
      <w:r>
        <w:rPr>
          <w:rFonts w:hint="eastAsia" w:ascii="宋体" w:hAnsi="宋体" w:eastAsia="方正小标宋简体" w:cs="方正小标宋简体"/>
          <w:color w:val="000000"/>
          <w:spacing w:val="-12"/>
          <w:kern w:val="0"/>
          <w:sz w:val="32"/>
          <w:szCs w:val="32"/>
          <w:lang w:eastAsia="zh-CN"/>
        </w:rPr>
        <w:t>附件</w:t>
      </w:r>
      <w:r>
        <w:rPr>
          <w:rFonts w:hint="eastAsia" w:ascii="宋体" w:hAnsi="宋体" w:eastAsia="方正小标宋简体" w:cs="方正小标宋简体"/>
          <w:color w:val="000000"/>
          <w:spacing w:val="-12"/>
          <w:kern w:val="0"/>
          <w:sz w:val="32"/>
          <w:szCs w:val="32"/>
          <w:lang w:val="en-US" w:eastAsia="zh-CN"/>
        </w:rPr>
        <w:t>1</w:t>
      </w:r>
    </w:p>
    <w:p w14:paraId="62F225D4">
      <w:pPr>
        <w:spacing w:line="600" w:lineRule="exact"/>
        <w:jc w:val="center"/>
        <w:rPr>
          <w:rFonts w:hint="eastAsia" w:ascii="宋体" w:hAnsi="宋体" w:eastAsia="方正小标宋简体" w:cs="方正小标宋简体"/>
          <w:color w:val="000000"/>
          <w:spacing w:val="-12"/>
          <w:kern w:val="0"/>
          <w:sz w:val="44"/>
          <w:szCs w:val="44"/>
        </w:rPr>
      </w:pPr>
      <w:r>
        <w:rPr>
          <w:rFonts w:hint="eastAsia" w:ascii="宋体" w:hAnsi="宋体" w:eastAsia="方正小标宋简体" w:cs="方正小标宋简体"/>
          <w:color w:val="000000"/>
          <w:spacing w:val="-12"/>
          <w:kern w:val="0"/>
          <w:sz w:val="44"/>
          <w:szCs w:val="44"/>
        </w:rPr>
        <w:t>2023年市级项目支出绩效自评报告</w:t>
      </w:r>
    </w:p>
    <w:p w14:paraId="1FDEBE64">
      <w:pPr>
        <w:spacing w:line="600" w:lineRule="exact"/>
        <w:jc w:val="center"/>
        <w:rPr>
          <w:rFonts w:ascii="宋体" w:hAnsi="宋体" w:eastAsia="方正楷体简体"/>
          <w:b/>
          <w:sz w:val="32"/>
          <w:szCs w:val="32"/>
        </w:rPr>
      </w:pPr>
      <w:r>
        <w:rPr>
          <w:rFonts w:ascii="宋体" w:hAnsi="宋体" w:eastAsia="方正楷体简体"/>
          <w:b/>
          <w:sz w:val="32"/>
          <w:szCs w:val="32"/>
        </w:rPr>
        <w:t>（</w:t>
      </w:r>
      <w:r>
        <w:rPr>
          <w:rFonts w:hint="eastAsia" w:ascii="宋体" w:hAnsi="宋体" w:eastAsia="方正楷体简体"/>
          <w:b/>
          <w:sz w:val="32"/>
          <w:szCs w:val="32"/>
        </w:rPr>
        <w:t>综治中心专网租赁费</w:t>
      </w:r>
      <w:r>
        <w:rPr>
          <w:rFonts w:ascii="宋体" w:hAnsi="宋体" w:eastAsia="方正楷体简体"/>
          <w:b/>
          <w:sz w:val="32"/>
          <w:szCs w:val="32"/>
        </w:rPr>
        <w:t>）</w:t>
      </w:r>
    </w:p>
    <w:p w14:paraId="793D51D8">
      <w:pPr>
        <w:pStyle w:val="2"/>
        <w:spacing w:line="600" w:lineRule="exact"/>
        <w:rPr>
          <w:rFonts w:ascii="宋体" w:hAnsi="宋体" w:eastAsia="方正仿宋简体"/>
          <w:sz w:val="32"/>
          <w:szCs w:val="32"/>
        </w:rPr>
      </w:pPr>
    </w:p>
    <w:p w14:paraId="05BF0DA5">
      <w:pPr>
        <w:spacing w:line="600" w:lineRule="exact"/>
        <w:ind w:firstLine="640" w:firstLineChars="200"/>
        <w:rPr>
          <w:rFonts w:ascii="宋体" w:hAnsi="宋体" w:eastAsia="方正黑体简体"/>
          <w:sz w:val="32"/>
          <w:szCs w:val="32"/>
        </w:rPr>
      </w:pPr>
      <w:r>
        <w:rPr>
          <w:rFonts w:ascii="宋体" w:hAnsi="宋体" w:eastAsia="方正黑体简体"/>
          <w:sz w:val="32"/>
          <w:szCs w:val="32"/>
        </w:rPr>
        <w:t>一、项目基本情况</w:t>
      </w:r>
    </w:p>
    <w:p w14:paraId="4356A17B">
      <w:pPr>
        <w:pStyle w:val="2"/>
        <w:spacing w:line="600" w:lineRule="exact"/>
        <w:ind w:firstLine="630" w:firstLineChars="196"/>
        <w:rPr>
          <w:rFonts w:ascii="宋体" w:hAnsi="宋体" w:eastAsia="方正楷体简体"/>
          <w:b/>
          <w:sz w:val="32"/>
          <w:szCs w:val="32"/>
        </w:rPr>
      </w:pPr>
      <w:r>
        <w:rPr>
          <w:rFonts w:ascii="宋体" w:hAnsi="宋体" w:eastAsia="方正楷体简体"/>
          <w:b/>
          <w:sz w:val="32"/>
          <w:szCs w:val="32"/>
        </w:rPr>
        <w:t>（一）概况</w:t>
      </w:r>
    </w:p>
    <w:p w14:paraId="1EF728BF">
      <w:pPr>
        <w:pStyle w:val="2"/>
        <w:spacing w:line="600" w:lineRule="exact"/>
        <w:ind w:firstLine="630" w:firstLineChars="196"/>
        <w:rPr>
          <w:rFonts w:ascii="宋体" w:hAnsi="宋体" w:eastAsia="方正仿宋简体"/>
          <w:b/>
          <w:sz w:val="32"/>
          <w:szCs w:val="32"/>
        </w:rPr>
      </w:pPr>
      <w:r>
        <w:rPr>
          <w:rFonts w:ascii="宋体" w:hAnsi="宋体" w:eastAsia="方正仿宋简体"/>
          <w:b/>
          <w:sz w:val="32"/>
          <w:szCs w:val="32"/>
        </w:rPr>
        <w:t>1．立项背景及目的</w:t>
      </w:r>
    </w:p>
    <w:p w14:paraId="74138370">
      <w:pPr>
        <w:spacing w:line="600" w:lineRule="exact"/>
        <w:ind w:firstLine="660" w:firstLineChars="200"/>
        <w:rPr>
          <w:rFonts w:ascii="宋体" w:hAnsi="宋体" w:eastAsia="仿宋_GB2312" w:cs="仿宋_GB2312"/>
          <w:sz w:val="33"/>
          <w:szCs w:val="33"/>
        </w:rPr>
      </w:pPr>
      <w:r>
        <w:rPr>
          <w:rFonts w:hint="eastAsia" w:ascii="宋体" w:hAnsi="宋体" w:eastAsia="仿宋_GB2312" w:cs="仿宋_GB2312"/>
          <w:sz w:val="33"/>
          <w:szCs w:val="33"/>
        </w:rPr>
        <w:t>2018年10月，市委政法委《关于申请追加市综治中心项目建设资金的请示》（资政法〔2018〕82号）经市委财经领导小组同意，明确市综治中心“运维费和建设管理费根据市委政法委签订的具体金额为据，在一般公共预算中追加安排下达预算”。目前，市综治中心运维经费主要用于链路租赁。2019年8月，市委政法委与电信资阳分公司签订《互联网专线业务服务合同》，市委政法委向电信资阳分公司租赁三条专线，用于市综治中心日常链路使用，0.24万元/条/月，一年经费8.64万元，用于市综治中心专网租赁，保障日常运维工作。2022年8月1日，经协商，市委政法委与电信资阳分公司签订《电路服务业务合同》，0.14万元/条/月。</w:t>
      </w:r>
    </w:p>
    <w:p w14:paraId="3A6B8138">
      <w:pPr>
        <w:pStyle w:val="2"/>
        <w:numPr>
          <w:ilvl w:val="0"/>
          <w:numId w:val="1"/>
        </w:numPr>
        <w:spacing w:line="600" w:lineRule="exact"/>
        <w:ind w:firstLine="630" w:firstLineChars="196"/>
        <w:rPr>
          <w:rFonts w:ascii="宋体" w:hAnsi="宋体" w:eastAsia="方正仿宋简体"/>
          <w:b/>
          <w:sz w:val="32"/>
          <w:szCs w:val="32"/>
        </w:rPr>
      </w:pPr>
      <w:r>
        <w:rPr>
          <w:rFonts w:ascii="宋体" w:hAnsi="宋体" w:eastAsia="方正仿宋简体"/>
          <w:b/>
          <w:sz w:val="32"/>
          <w:szCs w:val="32"/>
        </w:rPr>
        <w:t>预算资金来源及使用情况</w:t>
      </w:r>
    </w:p>
    <w:p w14:paraId="66ADE569">
      <w:pPr>
        <w:spacing w:line="600" w:lineRule="exact"/>
        <w:ind w:firstLine="660" w:firstLineChars="200"/>
        <w:rPr>
          <w:rFonts w:hint="eastAsia" w:ascii="宋体" w:hAnsi="宋体" w:eastAsia="仿宋_GB2312" w:cs="仿宋_GB2312"/>
          <w:sz w:val="33"/>
          <w:szCs w:val="33"/>
        </w:rPr>
      </w:pPr>
      <w:r>
        <w:rPr>
          <w:rFonts w:hint="eastAsia" w:ascii="宋体" w:hAnsi="宋体" w:eastAsia="仿宋_GB2312" w:cs="仿宋_GB2312"/>
          <w:sz w:val="33"/>
          <w:szCs w:val="33"/>
        </w:rPr>
        <w:t>2023年安排综治中心专网租赁经费5.04万元，全部为财政拨款，项目资金到位率100%，实际支出5.04万元。</w:t>
      </w:r>
    </w:p>
    <w:p w14:paraId="63E35C59">
      <w:pPr>
        <w:pStyle w:val="2"/>
        <w:numPr>
          <w:ilvl w:val="0"/>
          <w:numId w:val="1"/>
        </w:numPr>
        <w:spacing w:line="600" w:lineRule="exact"/>
        <w:ind w:firstLine="630" w:firstLineChars="196"/>
        <w:rPr>
          <w:rFonts w:ascii="宋体" w:hAnsi="宋体" w:eastAsia="方正仿宋简体"/>
          <w:b/>
          <w:sz w:val="32"/>
          <w:szCs w:val="32"/>
        </w:rPr>
      </w:pPr>
      <w:r>
        <w:rPr>
          <w:rFonts w:ascii="宋体" w:hAnsi="宋体" w:eastAsia="方正仿宋简体"/>
          <w:b/>
          <w:sz w:val="32"/>
          <w:szCs w:val="32"/>
        </w:rPr>
        <w:t>实施情况（项目完成情况）</w:t>
      </w:r>
    </w:p>
    <w:p w14:paraId="645E80F6">
      <w:pPr>
        <w:spacing w:line="600" w:lineRule="exact"/>
        <w:ind w:firstLine="660" w:firstLineChars="200"/>
        <w:rPr>
          <w:rFonts w:ascii="宋体" w:hAnsi="宋体" w:eastAsia="仿宋_GB2312" w:cs="仿宋_GB2312"/>
          <w:sz w:val="33"/>
          <w:szCs w:val="33"/>
        </w:rPr>
      </w:pPr>
      <w:r>
        <w:rPr>
          <w:rFonts w:hint="eastAsia" w:ascii="宋体" w:hAnsi="宋体" w:eastAsia="仿宋_GB2312" w:cs="仿宋_GB2312"/>
          <w:sz w:val="33"/>
          <w:szCs w:val="33"/>
        </w:rPr>
        <w:t>综治中心通过专项链路，整合网格化服务管理、矛盾纠纷多元化解、“雪亮工程”信息系统，纵向和省、县、乡、村综治中心互联互通，横向和市公安局、市政务服务大数据管理局等互联互通，实现应急调度、视频会议、实时监控等功能，为社会治安防控工作提供智治支撑。</w:t>
      </w:r>
    </w:p>
    <w:p w14:paraId="01FFD643">
      <w:pPr>
        <w:pStyle w:val="2"/>
        <w:numPr>
          <w:ilvl w:val="0"/>
          <w:numId w:val="1"/>
        </w:numPr>
        <w:spacing w:line="600" w:lineRule="exact"/>
        <w:ind w:firstLine="630" w:firstLineChars="196"/>
        <w:rPr>
          <w:rFonts w:ascii="宋体" w:hAnsi="宋体" w:eastAsia="方正仿宋简体"/>
          <w:b/>
          <w:sz w:val="32"/>
          <w:szCs w:val="32"/>
        </w:rPr>
      </w:pPr>
      <w:r>
        <w:rPr>
          <w:rFonts w:ascii="宋体" w:hAnsi="宋体" w:eastAsia="方正仿宋简体"/>
          <w:b/>
          <w:sz w:val="32"/>
          <w:szCs w:val="32"/>
        </w:rPr>
        <w:t>组织及管理（项目组织、管理流程及实际执行情况）</w:t>
      </w:r>
    </w:p>
    <w:p w14:paraId="28C17546">
      <w:pPr>
        <w:spacing w:line="600" w:lineRule="exact"/>
        <w:ind w:firstLine="660" w:firstLineChars="200"/>
        <w:rPr>
          <w:rFonts w:hint="eastAsia" w:ascii="宋体" w:hAnsi="宋体" w:eastAsia="仿宋_GB2312" w:cs="仿宋_GB2312"/>
          <w:sz w:val="33"/>
          <w:szCs w:val="33"/>
        </w:rPr>
      </w:pPr>
      <w:r>
        <w:rPr>
          <w:rFonts w:hint="eastAsia" w:ascii="宋体" w:hAnsi="宋体" w:eastAsia="仿宋_GB2312" w:cs="仿宋_GB2312"/>
          <w:sz w:val="33"/>
          <w:szCs w:val="33"/>
        </w:rPr>
        <w:t>该项目由市综治中心负责项目的实施，办公室申请资金，财政下拨项目经费。根据实际发生情况支付，资金执行情况5.04万元。</w:t>
      </w:r>
    </w:p>
    <w:p w14:paraId="4A01ED5E">
      <w:pPr>
        <w:pStyle w:val="2"/>
        <w:spacing w:line="600" w:lineRule="exact"/>
        <w:ind w:firstLine="630" w:firstLineChars="196"/>
        <w:rPr>
          <w:rFonts w:ascii="宋体" w:hAnsi="宋体" w:eastAsia="方正楷体简体"/>
          <w:b/>
          <w:sz w:val="32"/>
          <w:szCs w:val="32"/>
        </w:rPr>
      </w:pPr>
      <w:r>
        <w:rPr>
          <w:rFonts w:ascii="宋体" w:hAnsi="宋体" w:eastAsia="方正楷体简体"/>
          <w:b/>
          <w:sz w:val="32"/>
          <w:szCs w:val="32"/>
        </w:rPr>
        <w:t>（二）绩效目标</w:t>
      </w:r>
    </w:p>
    <w:p w14:paraId="6A3B010D">
      <w:pPr>
        <w:spacing w:line="600" w:lineRule="exact"/>
        <w:ind w:firstLine="663" w:firstLineChars="200"/>
        <w:rPr>
          <w:rFonts w:hint="eastAsia" w:ascii="宋体" w:hAnsi="宋体" w:eastAsia="仿宋_GB2312" w:cs="仿宋_GB2312"/>
          <w:sz w:val="33"/>
          <w:szCs w:val="33"/>
        </w:rPr>
      </w:pPr>
      <w:r>
        <w:rPr>
          <w:rFonts w:hint="eastAsia" w:ascii="宋体" w:hAnsi="宋体" w:eastAsia="仿宋_GB2312" w:cs="仿宋_GB2312"/>
          <w:b/>
          <w:sz w:val="33"/>
          <w:szCs w:val="33"/>
        </w:rPr>
        <w:t>一是</w:t>
      </w:r>
      <w:r>
        <w:rPr>
          <w:rFonts w:hint="eastAsia" w:ascii="宋体" w:hAnsi="宋体" w:eastAsia="仿宋_GB2312" w:cs="仿宋_GB2312"/>
          <w:sz w:val="33"/>
          <w:szCs w:val="33"/>
        </w:rPr>
        <w:t>市委政法委基层社会治理科加强经费监管，坚持每季度专题研究综治中心运行工作，强化综治中心联网应用。定期巡检市综治中心专网运行情况，建立经费管理纳入绩效考核机制。按期支付专网租赁费用，确保综治中心正常运行。</w:t>
      </w:r>
    </w:p>
    <w:p w14:paraId="4A6DDC7D">
      <w:pPr>
        <w:spacing w:line="600" w:lineRule="exact"/>
        <w:ind w:firstLine="663" w:firstLineChars="200"/>
        <w:rPr>
          <w:rFonts w:hint="eastAsia" w:ascii="宋体" w:hAnsi="宋体" w:eastAsia="方正仿宋_GBK" w:cs="方正仿宋_GBK"/>
          <w:sz w:val="33"/>
          <w:szCs w:val="33"/>
        </w:rPr>
      </w:pPr>
      <w:r>
        <w:rPr>
          <w:rFonts w:hint="eastAsia" w:ascii="宋体" w:hAnsi="宋体" w:eastAsia="仿宋_GB2312" w:cs="仿宋_GB2312"/>
          <w:b/>
          <w:sz w:val="33"/>
          <w:szCs w:val="33"/>
        </w:rPr>
        <w:t>二是</w:t>
      </w:r>
      <w:r>
        <w:rPr>
          <w:rFonts w:hint="eastAsia" w:ascii="宋体" w:hAnsi="宋体" w:eastAsia="仿宋_GB2312" w:cs="仿宋_GB2312"/>
          <w:sz w:val="33"/>
          <w:szCs w:val="33"/>
        </w:rPr>
        <w:t>通过综治中心统筹网格化服务管理、矛盾纠纷多元化解等信息系统工作。2023年，全市专兼职网格员通过信息系统报送办理各类网格事件事项20万余件次，切实打通服务群众最后“一公里”。</w:t>
      </w:r>
      <w:r>
        <w:rPr>
          <w:rFonts w:hint="eastAsia" w:ascii="宋体" w:hAnsi="宋体" w:eastAsia="方正仿宋_GBK" w:cs="方正仿宋_GBK"/>
          <w:sz w:val="33"/>
          <w:szCs w:val="33"/>
        </w:rPr>
        <w:t>全市通过系统报送排查各类矛盾纠纷31399件，化解31335件</w:t>
      </w:r>
      <w:r>
        <w:rPr>
          <w:rFonts w:hint="eastAsia" w:ascii="宋体" w:hAnsi="宋体" w:cs="宋体"/>
          <w:sz w:val="33"/>
          <w:szCs w:val="33"/>
        </w:rPr>
        <w:t>，</w:t>
      </w:r>
      <w:r>
        <w:rPr>
          <w:rFonts w:hint="eastAsia" w:ascii="宋体" w:hAnsi="宋体" w:eastAsia="方正仿宋_GBK" w:cs="方正仿宋_GBK"/>
          <w:sz w:val="33"/>
          <w:szCs w:val="33"/>
        </w:rPr>
        <w:t>化解成功率</w:t>
      </w:r>
      <w:r>
        <w:rPr>
          <w:rFonts w:hint="eastAsia" w:ascii="宋体" w:hAnsi="宋体" w:cs="宋体"/>
          <w:sz w:val="33"/>
          <w:szCs w:val="33"/>
        </w:rPr>
        <w:t>99.8%</w:t>
      </w:r>
      <w:r>
        <w:rPr>
          <w:rFonts w:hint="eastAsia" w:ascii="宋体" w:hAnsi="宋体" w:eastAsia="方正仿宋_GBK" w:cs="方正仿宋_GBK"/>
          <w:sz w:val="33"/>
          <w:szCs w:val="33"/>
        </w:rPr>
        <w:t>。</w:t>
      </w:r>
    </w:p>
    <w:p w14:paraId="1D54B084">
      <w:pPr>
        <w:spacing w:line="600" w:lineRule="exact"/>
        <w:ind w:firstLine="663" w:firstLineChars="200"/>
        <w:rPr>
          <w:rFonts w:ascii="宋体" w:hAnsi="宋体" w:eastAsia="仿宋_GB2312" w:cs="仿宋_GB2312"/>
          <w:sz w:val="33"/>
          <w:szCs w:val="33"/>
        </w:rPr>
      </w:pPr>
      <w:r>
        <w:rPr>
          <w:rFonts w:hint="eastAsia" w:ascii="宋体" w:hAnsi="宋体" w:eastAsia="仿宋_GB2312" w:cs="仿宋_GB2312"/>
          <w:b/>
          <w:sz w:val="33"/>
          <w:szCs w:val="33"/>
        </w:rPr>
        <w:t>三是</w:t>
      </w:r>
      <w:r>
        <w:rPr>
          <w:rFonts w:hint="eastAsia" w:ascii="宋体" w:hAnsi="宋体" w:eastAsia="仿宋_GB2312" w:cs="仿宋_GB2312"/>
          <w:sz w:val="33"/>
          <w:szCs w:val="33"/>
        </w:rPr>
        <w:t>加强综治中心联网应用，坚持开展定期线上轮巡，确保中、省综治中心对市（州）“雪亮工程”开展轮巡调度时，在线率保持在90%以上。加强实时调度，在全国“两会”、成都大运会等重要时段，市委、市政府有关领导多次利用市综治中心调度各地安保维稳情况。召开视频会议，利用综治中心先后召开维护社会稳定、网格化服务管理、森林防灭火专题培训等会议，切实让数据多跑路。</w:t>
      </w:r>
    </w:p>
    <w:p w14:paraId="5A4C2781">
      <w:pPr>
        <w:spacing w:line="600" w:lineRule="exact"/>
        <w:ind w:firstLine="663" w:firstLineChars="200"/>
        <w:rPr>
          <w:rFonts w:ascii="宋体" w:hAnsi="宋体" w:eastAsia="仿宋_GB2312" w:cs="仿宋_GB2312"/>
          <w:sz w:val="33"/>
          <w:szCs w:val="33"/>
        </w:rPr>
      </w:pPr>
      <w:r>
        <w:rPr>
          <w:rFonts w:hint="eastAsia" w:ascii="宋体" w:hAnsi="宋体" w:eastAsia="仿宋_GB2312" w:cs="仿宋_GB2312"/>
          <w:b/>
          <w:sz w:val="33"/>
          <w:szCs w:val="33"/>
        </w:rPr>
        <w:t>四是</w:t>
      </w:r>
      <w:r>
        <w:rPr>
          <w:rFonts w:hint="eastAsia" w:ascii="宋体" w:hAnsi="宋体" w:eastAsia="仿宋_GB2312" w:cs="仿宋_GB2312"/>
          <w:sz w:val="33"/>
          <w:szCs w:val="33"/>
        </w:rPr>
        <w:t>加强“雪亮工程”实战应用，截至目前，市综治中心联入联入“雪亮工程”9221路、“天网工程”及各类公共安全感知源9444路、“慧眼工程”2.44万余路和城管、环保等社会视频资源2万余路。</w:t>
      </w:r>
      <w:r>
        <w:rPr>
          <w:rFonts w:hint="eastAsia" w:ascii="宋体" w:hAnsi="宋体" w:eastAsia="方正仿宋_GBK"/>
          <w:sz w:val="33"/>
          <w:szCs w:val="33"/>
        </w:rPr>
        <w:t>着力“雪亮工程”后期维护使用，</w:t>
      </w:r>
      <w:r>
        <w:rPr>
          <w:rFonts w:hint="eastAsia" w:ascii="宋体" w:hAnsi="宋体" w:eastAsia="仿宋_GB2312" w:cs="仿宋_GB2312"/>
          <w:sz w:val="33"/>
          <w:szCs w:val="33"/>
        </w:rPr>
        <w:t>切实发挥视频监控功能，</w:t>
      </w:r>
      <w:r>
        <w:rPr>
          <w:rFonts w:hint="eastAsia" w:ascii="宋体" w:hAnsi="宋体" w:eastAsia="方正仿宋_GBK" w:cs="方正仿宋_GBK"/>
          <w:sz w:val="33"/>
          <w:szCs w:val="33"/>
        </w:rPr>
        <w:t>2023年，全市“雪亮工程”“慧眼工程”协助公安机关破获盗窃等案件78起、交通肇事案83起，向周边地区提供破案素材48次，全力护航平安乡村。</w:t>
      </w:r>
    </w:p>
    <w:p w14:paraId="5187F6FB">
      <w:pPr>
        <w:pStyle w:val="2"/>
        <w:spacing w:line="600" w:lineRule="exact"/>
        <w:ind w:firstLine="627" w:firstLineChars="196"/>
        <w:rPr>
          <w:rFonts w:ascii="宋体" w:hAnsi="宋体" w:eastAsia="方正黑体简体"/>
          <w:sz w:val="32"/>
          <w:szCs w:val="32"/>
        </w:rPr>
      </w:pPr>
      <w:r>
        <w:rPr>
          <w:rFonts w:ascii="宋体" w:hAnsi="宋体" w:eastAsia="方正黑体简体"/>
          <w:sz w:val="32"/>
          <w:szCs w:val="32"/>
        </w:rPr>
        <w:t>二、绩效自评工作情况</w:t>
      </w:r>
    </w:p>
    <w:p w14:paraId="5F156CA7">
      <w:pPr>
        <w:pStyle w:val="2"/>
        <w:spacing w:line="600" w:lineRule="exact"/>
        <w:ind w:firstLine="630" w:firstLineChars="196"/>
        <w:rPr>
          <w:rFonts w:ascii="宋体" w:hAnsi="宋体" w:eastAsia="方正楷体简体"/>
          <w:b/>
          <w:sz w:val="32"/>
          <w:szCs w:val="32"/>
        </w:rPr>
      </w:pPr>
      <w:r>
        <w:rPr>
          <w:rFonts w:ascii="宋体" w:hAnsi="宋体" w:eastAsia="方正楷体简体"/>
          <w:b/>
          <w:sz w:val="32"/>
          <w:szCs w:val="32"/>
        </w:rPr>
        <w:t>（一）自评工作组织领导</w:t>
      </w:r>
    </w:p>
    <w:p w14:paraId="10E68068">
      <w:pPr>
        <w:spacing w:line="600" w:lineRule="exact"/>
        <w:ind w:firstLine="660" w:firstLineChars="200"/>
        <w:rPr>
          <w:rFonts w:hint="eastAsia" w:ascii="宋体" w:hAnsi="宋体" w:eastAsia="仿宋_GB2312" w:cs="仿宋_GB2312"/>
          <w:sz w:val="33"/>
          <w:szCs w:val="33"/>
        </w:rPr>
      </w:pPr>
      <w:r>
        <w:rPr>
          <w:rFonts w:hint="eastAsia" w:ascii="宋体" w:hAnsi="宋体" w:eastAsia="仿宋_GB2312" w:cs="仿宋_GB2312"/>
          <w:sz w:val="33"/>
          <w:szCs w:val="33"/>
        </w:rPr>
        <w:t>单位有专（兼）职人员负责绩效考核工作。</w:t>
      </w:r>
    </w:p>
    <w:p w14:paraId="1AC77E8D">
      <w:pPr>
        <w:pStyle w:val="2"/>
        <w:spacing w:line="600" w:lineRule="exact"/>
        <w:ind w:firstLine="630" w:firstLineChars="196"/>
        <w:rPr>
          <w:rFonts w:ascii="宋体" w:hAnsi="宋体" w:eastAsia="方正楷体简体"/>
          <w:b/>
          <w:sz w:val="32"/>
          <w:szCs w:val="32"/>
        </w:rPr>
      </w:pPr>
      <w:r>
        <w:rPr>
          <w:rFonts w:ascii="宋体" w:hAnsi="宋体" w:eastAsia="方正楷体简体"/>
          <w:b/>
          <w:sz w:val="32"/>
          <w:szCs w:val="32"/>
        </w:rPr>
        <w:t>（二）自评方式、方法、重点等</w:t>
      </w:r>
    </w:p>
    <w:p w14:paraId="70D32C3E">
      <w:pPr>
        <w:spacing w:line="600" w:lineRule="exact"/>
        <w:ind w:firstLine="660" w:firstLineChars="200"/>
        <w:rPr>
          <w:rFonts w:hint="eastAsia" w:ascii="宋体" w:hAnsi="宋体" w:eastAsia="仿宋_GB2312" w:cs="仿宋_GB2312"/>
          <w:sz w:val="33"/>
          <w:szCs w:val="33"/>
        </w:rPr>
      </w:pPr>
      <w:r>
        <w:rPr>
          <w:rFonts w:hint="eastAsia" w:ascii="宋体" w:hAnsi="宋体" w:eastAsia="仿宋_GB2312" w:cs="仿宋_GB2312"/>
          <w:sz w:val="33"/>
          <w:szCs w:val="33"/>
        </w:rPr>
        <w:t>评价工作分为准备阶段、实施阶段和撰写阶段，在准备阶段，我单位首先确定了绩效评价对象，制定绩效评价工作方案；在实施阶段，建立了科学、规划的绩效考核指标体系，制定了明确、合理的财政支出绩效目标，认真收集和审查核实绩效评价相关资料，对绩效目标的实现程度户效果实施了考核与评价；在撰写阶段，综合分析并形成评价结论，运用考评结果提高预算编制、执行和管理水平，建立健全绩效评价档案。</w:t>
      </w:r>
    </w:p>
    <w:p w14:paraId="55BF57C4">
      <w:pPr>
        <w:pStyle w:val="2"/>
        <w:spacing w:line="600" w:lineRule="exact"/>
        <w:ind w:firstLine="627" w:firstLineChars="196"/>
        <w:rPr>
          <w:rFonts w:ascii="宋体" w:hAnsi="宋体" w:eastAsia="方正黑体简体"/>
          <w:sz w:val="32"/>
          <w:szCs w:val="32"/>
        </w:rPr>
      </w:pPr>
      <w:r>
        <w:rPr>
          <w:rFonts w:ascii="宋体" w:hAnsi="宋体" w:eastAsia="方正黑体简体"/>
          <w:sz w:val="32"/>
          <w:szCs w:val="32"/>
        </w:rPr>
        <w:t>三、评价结论</w:t>
      </w:r>
    </w:p>
    <w:p w14:paraId="2B192A9E">
      <w:pPr>
        <w:spacing w:line="600" w:lineRule="exact"/>
        <w:ind w:firstLine="660" w:firstLineChars="200"/>
        <w:rPr>
          <w:rFonts w:hint="eastAsia" w:ascii="宋体" w:hAnsi="宋体" w:eastAsia="仿宋_GB2312" w:cs="仿宋_GB2312"/>
          <w:sz w:val="33"/>
          <w:szCs w:val="33"/>
        </w:rPr>
      </w:pPr>
      <w:r>
        <w:rPr>
          <w:rFonts w:hint="eastAsia" w:ascii="宋体" w:hAnsi="宋体" w:eastAsia="仿宋_GB2312" w:cs="仿宋_GB2312"/>
          <w:sz w:val="33"/>
          <w:szCs w:val="33"/>
        </w:rPr>
        <w:t>根据预算绩效管理工作要求对2023年项目支出绩效管理工作进行了自评考核，按照综合评分结果，依据</w:t>
      </w:r>
      <w:r>
        <w:rPr>
          <w:rFonts w:hint="eastAsia" w:ascii="宋体" w:hAnsi="宋体" w:eastAsia="仿宋_GB2312" w:cs="仿宋_GB2312"/>
          <w:sz w:val="33"/>
          <w:szCs w:val="33"/>
          <w:lang w:eastAsia="zh-CN"/>
        </w:rPr>
        <w:t>资</w:t>
      </w:r>
      <w:r>
        <w:rPr>
          <w:rFonts w:hint="eastAsia" w:ascii="宋体" w:hAnsi="宋体" w:eastAsia="仿宋_GB2312" w:cs="仿宋_GB2312"/>
          <w:sz w:val="33"/>
          <w:szCs w:val="33"/>
        </w:rPr>
        <w:t>财监督〔2020〕1号规定评价等级为优，本次自评得分100分。</w:t>
      </w:r>
    </w:p>
    <w:p w14:paraId="148B1860">
      <w:pPr>
        <w:pStyle w:val="2"/>
        <w:spacing w:line="600" w:lineRule="exact"/>
        <w:ind w:firstLine="627" w:firstLineChars="196"/>
        <w:rPr>
          <w:rFonts w:ascii="宋体" w:hAnsi="宋体" w:eastAsia="方正黑体简体"/>
          <w:sz w:val="32"/>
          <w:szCs w:val="32"/>
        </w:rPr>
      </w:pPr>
      <w:r>
        <w:rPr>
          <w:rFonts w:ascii="宋体" w:hAnsi="宋体" w:eastAsia="方正黑体简体"/>
          <w:sz w:val="32"/>
          <w:szCs w:val="32"/>
        </w:rPr>
        <w:t>四、绩效分析</w:t>
      </w:r>
    </w:p>
    <w:p w14:paraId="1851849B">
      <w:pPr>
        <w:pStyle w:val="2"/>
        <w:spacing w:line="600" w:lineRule="exact"/>
        <w:ind w:firstLine="627" w:firstLineChars="196"/>
        <w:rPr>
          <w:rFonts w:ascii="宋体" w:hAnsi="宋体" w:eastAsia="方正仿宋简体"/>
          <w:sz w:val="32"/>
          <w:szCs w:val="32"/>
        </w:rPr>
      </w:pPr>
      <w:r>
        <w:rPr>
          <w:rFonts w:hint="eastAsia" w:ascii="宋体" w:hAnsi="宋体" w:eastAsia="方正仿宋简体"/>
          <w:sz w:val="32"/>
          <w:szCs w:val="32"/>
          <w:lang w:eastAsia="zh-CN"/>
        </w:rPr>
        <w:t>项目</w:t>
      </w:r>
      <w:r>
        <w:rPr>
          <w:rFonts w:hint="eastAsia" w:ascii="宋体" w:hAnsi="宋体" w:eastAsia="方正仿宋简体"/>
          <w:sz w:val="32"/>
          <w:szCs w:val="32"/>
        </w:rPr>
        <w:t>支出绩效评价的评分依据、</w:t>
      </w:r>
      <w:r>
        <w:rPr>
          <w:rFonts w:hint="eastAsia" w:ascii="宋体" w:hAnsi="宋体" w:eastAsia="方正仿宋简体"/>
          <w:sz w:val="32"/>
          <w:szCs w:val="32"/>
          <w:lang w:eastAsia="zh-CN"/>
        </w:rPr>
        <w:t>得分情况、</w:t>
      </w:r>
      <w:r>
        <w:rPr>
          <w:rFonts w:hint="eastAsia" w:ascii="宋体" w:hAnsi="宋体" w:eastAsia="方正仿宋简体"/>
          <w:sz w:val="32"/>
          <w:szCs w:val="32"/>
        </w:rPr>
        <w:t>扣分原因分析等见《20</w:t>
      </w:r>
      <w:r>
        <w:rPr>
          <w:rFonts w:hint="eastAsia" w:ascii="宋体" w:hAnsi="宋体" w:eastAsia="方正仿宋简体"/>
          <w:sz w:val="32"/>
          <w:szCs w:val="32"/>
          <w:lang w:val="en-US" w:eastAsia="zh-CN"/>
        </w:rPr>
        <w:t>23</w:t>
      </w:r>
      <w:r>
        <w:rPr>
          <w:rFonts w:hint="eastAsia" w:ascii="宋体" w:hAnsi="宋体" w:eastAsia="方正仿宋简体"/>
          <w:sz w:val="32"/>
          <w:szCs w:val="32"/>
        </w:rPr>
        <w:t>年度市本级</w:t>
      </w:r>
      <w:r>
        <w:rPr>
          <w:rFonts w:hint="eastAsia" w:ascii="宋体" w:hAnsi="宋体" w:eastAsia="方正仿宋简体"/>
          <w:sz w:val="32"/>
          <w:szCs w:val="32"/>
          <w:lang w:eastAsia="zh-CN"/>
        </w:rPr>
        <w:t>项目</w:t>
      </w:r>
      <w:r>
        <w:rPr>
          <w:rFonts w:hint="eastAsia" w:ascii="宋体" w:hAnsi="宋体" w:eastAsia="方正仿宋简体"/>
          <w:sz w:val="32"/>
          <w:szCs w:val="32"/>
        </w:rPr>
        <w:t>支出绩效自评计分表》（附件</w:t>
      </w:r>
      <w:r>
        <w:rPr>
          <w:rFonts w:hint="eastAsia" w:ascii="宋体" w:hAnsi="宋体" w:eastAsia="方正仿宋简体"/>
          <w:sz w:val="32"/>
          <w:szCs w:val="32"/>
          <w:lang w:val="en-US" w:eastAsia="zh-CN"/>
        </w:rPr>
        <w:t>2</w:t>
      </w:r>
      <w:r>
        <w:rPr>
          <w:rFonts w:hint="eastAsia" w:ascii="宋体" w:hAnsi="宋体" w:eastAsia="方正仿宋简体"/>
          <w:sz w:val="32"/>
          <w:szCs w:val="32"/>
        </w:rPr>
        <w:t>-1）</w:t>
      </w:r>
      <w:r>
        <w:rPr>
          <w:rFonts w:ascii="宋体" w:hAnsi="宋体" w:eastAsia="方正仿宋简体"/>
          <w:sz w:val="32"/>
          <w:szCs w:val="32"/>
        </w:rPr>
        <w:t>。</w:t>
      </w:r>
    </w:p>
    <w:p w14:paraId="1D1455EE">
      <w:pPr>
        <w:spacing w:line="600" w:lineRule="exact"/>
        <w:ind w:firstLine="643" w:firstLineChars="200"/>
        <w:rPr>
          <w:rFonts w:ascii="宋体" w:hAnsi="宋体" w:eastAsia="方正仿宋简体"/>
          <w:b/>
          <w:color w:val="000000"/>
          <w:kern w:val="0"/>
          <w:sz w:val="32"/>
          <w:szCs w:val="32"/>
        </w:rPr>
      </w:pPr>
      <w:r>
        <w:rPr>
          <w:rFonts w:hint="eastAsia" w:ascii="宋体" w:hAnsi="宋体" w:eastAsia="方正仿宋简体"/>
          <w:b/>
          <w:color w:val="000000"/>
          <w:kern w:val="0"/>
          <w:sz w:val="32"/>
          <w:szCs w:val="32"/>
        </w:rPr>
        <w:t>1.投入指标分析</w:t>
      </w:r>
      <w:r>
        <w:rPr>
          <w:rFonts w:ascii="宋体" w:hAnsi="宋体" w:eastAsia="方正仿宋简体"/>
          <w:color w:val="000000"/>
          <w:kern w:val="0"/>
          <w:sz w:val="32"/>
          <w:szCs w:val="32"/>
        </w:rPr>
        <w:t>（总分25分，得分25分）</w:t>
      </w:r>
    </w:p>
    <w:p w14:paraId="0263C373">
      <w:pPr>
        <w:spacing w:line="600" w:lineRule="exact"/>
        <w:ind w:firstLine="643" w:firstLineChars="200"/>
        <w:rPr>
          <w:rFonts w:ascii="宋体" w:hAnsi="宋体" w:eastAsia="方正仿宋简体"/>
          <w:b/>
          <w:color w:val="000000"/>
          <w:kern w:val="0"/>
          <w:sz w:val="32"/>
          <w:szCs w:val="32"/>
        </w:rPr>
      </w:pPr>
      <w:r>
        <w:rPr>
          <w:rFonts w:hint="eastAsia" w:ascii="宋体" w:hAnsi="宋体" w:eastAsia="方正仿宋简体"/>
          <w:b/>
          <w:color w:val="000000"/>
          <w:kern w:val="0"/>
          <w:sz w:val="32"/>
          <w:szCs w:val="32"/>
        </w:rPr>
        <w:t>（1）项目立项</w:t>
      </w:r>
    </w:p>
    <w:p w14:paraId="028B9744">
      <w:pPr>
        <w:spacing w:line="600" w:lineRule="exact"/>
        <w:ind w:firstLine="640" w:firstLineChars="200"/>
        <w:rPr>
          <w:rFonts w:hint="eastAsia" w:ascii="宋体" w:hAnsi="宋体" w:eastAsia="方正仿宋简体"/>
          <w:color w:val="000000"/>
          <w:sz w:val="32"/>
          <w:szCs w:val="32"/>
        </w:rPr>
      </w:pPr>
      <w:r>
        <w:rPr>
          <w:rFonts w:hint="eastAsia" w:ascii="宋体" w:hAnsi="宋体" w:eastAsia="方正仿宋简体"/>
          <w:color w:val="000000"/>
          <w:kern w:val="0"/>
          <w:sz w:val="32"/>
          <w:szCs w:val="32"/>
        </w:rPr>
        <w:t>本单位项目立项规范，项目按规定程序申请、设立，提交的文件、资料符合相关要求；绩效目标合理，项目设定的绩效目标符合国家法律</w:t>
      </w:r>
      <w:r>
        <w:rPr>
          <w:rFonts w:ascii="宋体" w:hAnsi="宋体" w:eastAsia="方正仿宋简体"/>
          <w:color w:val="000000"/>
          <w:kern w:val="0"/>
          <w:sz w:val="32"/>
          <w:szCs w:val="32"/>
        </w:rPr>
        <w:t>法规、国民经济和社会发展总体规划</w:t>
      </w:r>
      <w:r>
        <w:rPr>
          <w:rFonts w:hint="eastAsia" w:ascii="宋体" w:hAnsi="宋体" w:eastAsia="方正仿宋简体"/>
          <w:color w:val="000000"/>
          <w:kern w:val="0"/>
          <w:sz w:val="32"/>
          <w:szCs w:val="32"/>
        </w:rPr>
        <w:t>，依据充分，符合客观实际；绩效目标明确，</w:t>
      </w:r>
      <w:r>
        <w:rPr>
          <w:rFonts w:hint="eastAsia" w:ascii="宋体" w:hAnsi="宋体" w:eastAsia="方正仿宋简体"/>
          <w:color w:val="000000"/>
          <w:sz w:val="32"/>
          <w:szCs w:val="32"/>
        </w:rPr>
        <w:t>设定</w:t>
      </w:r>
      <w:r>
        <w:rPr>
          <w:rFonts w:ascii="宋体" w:hAnsi="宋体" w:eastAsia="方正仿宋简体"/>
          <w:color w:val="000000"/>
          <w:sz w:val="32"/>
          <w:szCs w:val="32"/>
        </w:rPr>
        <w:t>的绩效指标清晰</w:t>
      </w:r>
      <w:r>
        <w:rPr>
          <w:rFonts w:hint="eastAsia" w:ascii="宋体" w:hAnsi="宋体" w:eastAsia="方正仿宋简体"/>
          <w:color w:val="000000"/>
          <w:sz w:val="32"/>
          <w:szCs w:val="32"/>
        </w:rPr>
        <w:t>、</w:t>
      </w:r>
      <w:r>
        <w:rPr>
          <w:rFonts w:ascii="宋体" w:hAnsi="宋体" w:eastAsia="方正仿宋简体"/>
          <w:color w:val="000000"/>
          <w:sz w:val="32"/>
          <w:szCs w:val="32"/>
        </w:rPr>
        <w:t>具体</w:t>
      </w:r>
      <w:r>
        <w:rPr>
          <w:rFonts w:hint="eastAsia" w:ascii="宋体" w:hAnsi="宋体" w:eastAsia="方正仿宋简体"/>
          <w:color w:val="000000"/>
          <w:sz w:val="32"/>
          <w:szCs w:val="32"/>
        </w:rPr>
        <w:t>，</w:t>
      </w:r>
      <w:r>
        <w:rPr>
          <w:rFonts w:ascii="宋体" w:hAnsi="宋体" w:eastAsia="方正仿宋简体"/>
          <w:color w:val="000000"/>
          <w:sz w:val="32"/>
          <w:szCs w:val="32"/>
        </w:rPr>
        <w:t>具有</w:t>
      </w:r>
      <w:r>
        <w:rPr>
          <w:rFonts w:hint="eastAsia" w:ascii="宋体" w:hAnsi="宋体" w:eastAsia="方正仿宋简体"/>
          <w:color w:val="000000"/>
          <w:sz w:val="32"/>
          <w:szCs w:val="32"/>
        </w:rPr>
        <w:t>指导性</w:t>
      </w:r>
      <w:r>
        <w:rPr>
          <w:rFonts w:ascii="宋体" w:hAnsi="宋体" w:eastAsia="方正仿宋简体"/>
          <w:color w:val="000000"/>
          <w:sz w:val="32"/>
          <w:szCs w:val="32"/>
        </w:rPr>
        <w:t>和可衡量</w:t>
      </w:r>
      <w:r>
        <w:rPr>
          <w:rFonts w:hint="eastAsia" w:ascii="宋体" w:hAnsi="宋体" w:eastAsia="方正仿宋简体"/>
          <w:color w:val="000000"/>
          <w:sz w:val="32"/>
          <w:szCs w:val="32"/>
        </w:rPr>
        <w:t>性。</w:t>
      </w:r>
    </w:p>
    <w:p w14:paraId="019F17E8">
      <w:pPr>
        <w:spacing w:line="600" w:lineRule="exact"/>
        <w:ind w:firstLine="643" w:firstLineChars="200"/>
        <w:rPr>
          <w:rFonts w:ascii="宋体" w:hAnsi="宋体" w:eastAsia="方正仿宋简体"/>
          <w:b/>
          <w:color w:val="000000"/>
          <w:sz w:val="32"/>
          <w:szCs w:val="32"/>
        </w:rPr>
      </w:pPr>
      <w:r>
        <w:rPr>
          <w:rFonts w:hint="eastAsia" w:ascii="宋体" w:hAnsi="宋体" w:eastAsia="方正仿宋简体"/>
          <w:b/>
          <w:color w:val="000000"/>
          <w:sz w:val="32"/>
          <w:szCs w:val="32"/>
        </w:rPr>
        <w:t>（2）资金落实</w:t>
      </w:r>
    </w:p>
    <w:p w14:paraId="0B6CE9E5">
      <w:pPr>
        <w:spacing w:line="600" w:lineRule="exact"/>
        <w:ind w:firstLine="640" w:firstLineChars="200"/>
        <w:rPr>
          <w:rFonts w:ascii="宋体" w:hAnsi="宋体" w:eastAsia="方正仿宋简体"/>
          <w:color w:val="000000"/>
          <w:kern w:val="0"/>
          <w:sz w:val="32"/>
          <w:szCs w:val="32"/>
        </w:rPr>
      </w:pPr>
      <w:r>
        <w:rPr>
          <w:rFonts w:ascii="宋体" w:hAnsi="宋体" w:eastAsia="方正仿宋简体"/>
          <w:color w:val="000000"/>
          <w:kern w:val="0"/>
          <w:sz w:val="32"/>
          <w:szCs w:val="32"/>
        </w:rPr>
        <w:t>202</w:t>
      </w:r>
      <w:r>
        <w:rPr>
          <w:rFonts w:hint="eastAsia" w:ascii="宋体" w:hAnsi="宋体" w:eastAsia="方正仿宋简体"/>
          <w:color w:val="000000"/>
          <w:kern w:val="0"/>
          <w:sz w:val="32"/>
          <w:szCs w:val="32"/>
        </w:rPr>
        <w:t>3</w:t>
      </w:r>
      <w:r>
        <w:rPr>
          <w:rFonts w:ascii="宋体" w:hAnsi="宋体" w:eastAsia="方正仿宋简体"/>
          <w:color w:val="000000"/>
          <w:kern w:val="0"/>
          <w:sz w:val="32"/>
          <w:szCs w:val="32"/>
        </w:rPr>
        <w:t>年财政预算安排</w:t>
      </w:r>
      <w:r>
        <w:rPr>
          <w:rFonts w:hint="eastAsia" w:ascii="宋体" w:hAnsi="宋体" w:eastAsia="方正仿宋简体"/>
          <w:color w:val="000000"/>
          <w:kern w:val="0"/>
          <w:sz w:val="32"/>
          <w:szCs w:val="32"/>
        </w:rPr>
        <w:t>综治中心专网租赁费5.04</w:t>
      </w:r>
      <w:r>
        <w:rPr>
          <w:rFonts w:ascii="宋体" w:hAnsi="宋体" w:eastAsia="方正仿宋简体"/>
          <w:color w:val="000000"/>
          <w:kern w:val="0"/>
          <w:sz w:val="32"/>
          <w:szCs w:val="32"/>
        </w:rPr>
        <w:t>万元，资金实际到位</w:t>
      </w:r>
      <w:r>
        <w:rPr>
          <w:rFonts w:hint="eastAsia" w:ascii="宋体" w:hAnsi="宋体" w:eastAsia="方正仿宋简体"/>
          <w:color w:val="000000"/>
          <w:kern w:val="0"/>
          <w:sz w:val="32"/>
          <w:szCs w:val="32"/>
        </w:rPr>
        <w:t>5.04</w:t>
      </w:r>
      <w:r>
        <w:rPr>
          <w:rFonts w:ascii="宋体" w:hAnsi="宋体" w:eastAsia="方正仿宋简体"/>
          <w:color w:val="000000"/>
          <w:kern w:val="0"/>
          <w:sz w:val="32"/>
          <w:szCs w:val="32"/>
        </w:rPr>
        <w:t>万元，资金到位率</w:t>
      </w:r>
      <w:r>
        <w:rPr>
          <w:rFonts w:hint="eastAsia" w:ascii="宋体" w:hAnsi="宋体" w:eastAsia="方正仿宋简体"/>
          <w:color w:val="000000"/>
          <w:kern w:val="0"/>
          <w:sz w:val="32"/>
          <w:szCs w:val="32"/>
        </w:rPr>
        <w:t>=（实际到位资金/计划投入资金）=5.04/5.04=</w:t>
      </w:r>
      <w:r>
        <w:rPr>
          <w:rFonts w:ascii="宋体" w:hAnsi="宋体" w:eastAsia="方正仿宋简体"/>
          <w:color w:val="000000"/>
          <w:kern w:val="0"/>
          <w:sz w:val="32"/>
          <w:szCs w:val="32"/>
        </w:rPr>
        <w:t>100%；到位及时率</w:t>
      </w:r>
      <w:r>
        <w:rPr>
          <w:rFonts w:hint="eastAsia" w:ascii="宋体" w:hAnsi="宋体" w:eastAsia="方正仿宋简体"/>
          <w:color w:val="000000"/>
          <w:kern w:val="0"/>
          <w:sz w:val="32"/>
          <w:szCs w:val="32"/>
        </w:rPr>
        <w:t>=（及时到位资金/应到位资金）</w:t>
      </w:r>
      <w:r>
        <w:rPr>
          <w:rFonts w:ascii="宋体" w:hAnsi="宋体" w:eastAsia="方正仿宋简体"/>
          <w:color w:val="000000"/>
          <w:kern w:val="0"/>
          <w:sz w:val="32"/>
          <w:szCs w:val="32"/>
        </w:rPr>
        <w:t>100%。</w:t>
      </w:r>
    </w:p>
    <w:p w14:paraId="359AA5F8">
      <w:pPr>
        <w:spacing w:line="600" w:lineRule="exact"/>
        <w:ind w:firstLine="643" w:firstLineChars="200"/>
        <w:rPr>
          <w:rFonts w:ascii="宋体" w:hAnsi="宋体" w:eastAsia="方正仿宋简体"/>
          <w:b/>
          <w:color w:val="000000"/>
          <w:kern w:val="0"/>
          <w:sz w:val="32"/>
          <w:szCs w:val="32"/>
        </w:rPr>
      </w:pPr>
      <w:r>
        <w:rPr>
          <w:rFonts w:hint="eastAsia" w:ascii="宋体" w:hAnsi="宋体" w:eastAsia="方正仿宋简体"/>
          <w:b/>
          <w:color w:val="000000"/>
          <w:kern w:val="0"/>
          <w:sz w:val="32"/>
          <w:szCs w:val="32"/>
        </w:rPr>
        <w:t>2.过程指标分析</w:t>
      </w:r>
      <w:r>
        <w:rPr>
          <w:rFonts w:ascii="宋体" w:hAnsi="宋体" w:eastAsia="方正仿宋简体"/>
          <w:color w:val="000000"/>
          <w:kern w:val="0"/>
          <w:sz w:val="32"/>
          <w:szCs w:val="32"/>
        </w:rPr>
        <w:t>（总分25分，得分25分）</w:t>
      </w:r>
    </w:p>
    <w:p w14:paraId="1A1968E3">
      <w:pPr>
        <w:spacing w:line="600" w:lineRule="exact"/>
        <w:ind w:firstLine="643" w:firstLineChars="200"/>
        <w:rPr>
          <w:rFonts w:hint="eastAsia" w:ascii="宋体" w:hAnsi="宋体" w:eastAsia="方正仿宋简体"/>
          <w:b/>
          <w:color w:val="000000"/>
          <w:sz w:val="32"/>
          <w:szCs w:val="32"/>
        </w:rPr>
      </w:pPr>
      <w:r>
        <w:rPr>
          <w:rFonts w:hint="eastAsia" w:ascii="宋体" w:hAnsi="宋体" w:eastAsia="方正仿宋简体"/>
          <w:b/>
          <w:color w:val="000000"/>
          <w:sz w:val="32"/>
          <w:szCs w:val="32"/>
        </w:rPr>
        <w:t>（1）业务管理</w:t>
      </w:r>
    </w:p>
    <w:p w14:paraId="30F3FBC4">
      <w:pPr>
        <w:pStyle w:val="2"/>
        <w:spacing w:line="600" w:lineRule="exact"/>
        <w:ind w:firstLine="624"/>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本单位业务管理制度健全，合法、合规、完整；项目实施严格遵守相关法律法规和业务管理规定；项目调整及支出调整手续完备；项目合同书、验收报告、技术鉴定等资料齐全并及时归档。</w:t>
      </w:r>
    </w:p>
    <w:p w14:paraId="47665236">
      <w:pPr>
        <w:spacing w:line="600" w:lineRule="exact"/>
        <w:ind w:firstLine="643" w:firstLineChars="200"/>
        <w:rPr>
          <w:rFonts w:hint="eastAsia" w:ascii="宋体" w:hAnsi="宋体" w:eastAsia="方正仿宋简体"/>
          <w:b/>
          <w:color w:val="000000"/>
          <w:sz w:val="32"/>
          <w:szCs w:val="32"/>
        </w:rPr>
      </w:pPr>
      <w:r>
        <w:rPr>
          <w:rFonts w:hint="eastAsia" w:ascii="宋体" w:hAnsi="宋体" w:eastAsia="方正仿宋简体"/>
          <w:b/>
          <w:color w:val="000000"/>
          <w:sz w:val="32"/>
          <w:szCs w:val="32"/>
        </w:rPr>
        <w:t>（2）财务管理</w:t>
      </w:r>
    </w:p>
    <w:p w14:paraId="2467967B">
      <w:pPr>
        <w:spacing w:line="600" w:lineRule="exact"/>
        <w:ind w:firstLine="640" w:firstLineChars="200"/>
        <w:rPr>
          <w:rFonts w:ascii="宋体" w:hAnsi="宋体" w:eastAsia="方正仿宋简体"/>
          <w:color w:val="000000"/>
          <w:kern w:val="0"/>
          <w:sz w:val="32"/>
          <w:szCs w:val="32"/>
        </w:rPr>
      </w:pPr>
      <w:r>
        <w:rPr>
          <w:rFonts w:hint="eastAsia" w:ascii="宋体" w:hAnsi="宋体" w:eastAsia="方正仿宋简体"/>
          <w:color w:val="000000"/>
          <w:kern w:val="0"/>
          <w:sz w:val="32"/>
          <w:szCs w:val="32"/>
        </w:rPr>
        <w:t>资金使用符合国家财经法规和财务管理制度以及有关专项资金管理办法的规定，资金支付有完整的审批程序，不存在截留、挤占、挪用、虚列支出等情况。</w:t>
      </w:r>
    </w:p>
    <w:p w14:paraId="539B4508">
      <w:pPr>
        <w:spacing w:line="600" w:lineRule="exact"/>
        <w:ind w:firstLine="643" w:firstLineChars="200"/>
        <w:rPr>
          <w:rFonts w:ascii="宋体" w:hAnsi="宋体" w:eastAsia="方正仿宋简体"/>
          <w:color w:val="000000"/>
          <w:kern w:val="0"/>
          <w:sz w:val="32"/>
          <w:szCs w:val="32"/>
        </w:rPr>
      </w:pPr>
      <w:r>
        <w:rPr>
          <w:rFonts w:hint="eastAsia" w:ascii="宋体" w:hAnsi="宋体" w:eastAsia="方正仿宋简体"/>
          <w:b/>
          <w:color w:val="000000"/>
          <w:kern w:val="0"/>
          <w:sz w:val="32"/>
          <w:szCs w:val="32"/>
        </w:rPr>
        <w:t>3.产出指标分析</w:t>
      </w:r>
      <w:r>
        <w:rPr>
          <w:rFonts w:ascii="宋体" w:hAnsi="宋体" w:eastAsia="方正仿宋简体"/>
          <w:color w:val="000000"/>
          <w:kern w:val="0"/>
          <w:sz w:val="32"/>
          <w:szCs w:val="32"/>
        </w:rPr>
        <w:t>（总分20分，得分20分）</w:t>
      </w:r>
    </w:p>
    <w:p w14:paraId="41F901D9">
      <w:pPr>
        <w:ind w:firstLine="640" w:firstLineChars="200"/>
        <w:rPr>
          <w:rFonts w:hint="eastAsia" w:ascii="宋体" w:hAnsi="宋体" w:eastAsia="方正仿宋简体" w:cs="Times New Roman"/>
          <w:color w:val="000000"/>
          <w:kern w:val="0"/>
          <w:sz w:val="32"/>
          <w:szCs w:val="32"/>
        </w:rPr>
      </w:pPr>
      <w:r>
        <w:rPr>
          <w:rFonts w:hint="eastAsia" w:ascii="宋体" w:hAnsi="宋体" w:eastAsia="方正仿宋简体" w:cs="Times New Roman"/>
          <w:color w:val="000000"/>
          <w:kern w:val="0"/>
          <w:sz w:val="32"/>
          <w:szCs w:val="32"/>
        </w:rPr>
        <w:t>全市综治中心“雪亮工程”“慧眼工程”协助公安机关破获盗窃等案件78起、交通肇事案83起，向周边地区提供破案素材48次，全力护航平安乡村。</w:t>
      </w:r>
    </w:p>
    <w:p w14:paraId="1394965E">
      <w:pPr>
        <w:spacing w:line="600" w:lineRule="exact"/>
        <w:ind w:firstLine="643" w:firstLineChars="200"/>
        <w:rPr>
          <w:rFonts w:hint="eastAsia" w:ascii="宋体" w:hAnsi="宋体" w:eastAsia="方正仿宋简体"/>
          <w:color w:val="000000"/>
          <w:sz w:val="32"/>
          <w:szCs w:val="32"/>
        </w:rPr>
      </w:pPr>
      <w:r>
        <w:rPr>
          <w:rFonts w:hint="eastAsia" w:ascii="宋体" w:hAnsi="宋体" w:eastAsia="方正仿宋简体"/>
          <w:b/>
          <w:color w:val="000000"/>
          <w:kern w:val="0"/>
          <w:sz w:val="32"/>
          <w:szCs w:val="32"/>
        </w:rPr>
        <w:t>4.效果指标分析</w:t>
      </w:r>
      <w:r>
        <w:rPr>
          <w:rFonts w:hint="eastAsia" w:ascii="宋体" w:hAnsi="宋体" w:eastAsia="方正仿宋简体"/>
          <w:color w:val="000000"/>
          <w:kern w:val="0"/>
          <w:sz w:val="32"/>
          <w:szCs w:val="32"/>
        </w:rPr>
        <w:t>（总分</w:t>
      </w:r>
      <w:r>
        <w:rPr>
          <w:rFonts w:ascii="宋体" w:hAnsi="宋体" w:eastAsia="方正仿宋简体"/>
          <w:color w:val="000000"/>
          <w:kern w:val="0"/>
          <w:sz w:val="32"/>
          <w:szCs w:val="32"/>
        </w:rPr>
        <w:t>30分，得分</w:t>
      </w:r>
      <w:r>
        <w:rPr>
          <w:rFonts w:hint="eastAsia" w:ascii="宋体" w:hAnsi="宋体" w:eastAsia="方正仿宋简体"/>
          <w:color w:val="000000"/>
          <w:kern w:val="0"/>
          <w:sz w:val="32"/>
          <w:szCs w:val="32"/>
        </w:rPr>
        <w:t>30分）</w:t>
      </w:r>
    </w:p>
    <w:p w14:paraId="1F9694E6">
      <w:pPr>
        <w:ind w:firstLine="640" w:firstLineChars="200"/>
        <w:rPr>
          <w:rFonts w:ascii="宋体" w:hAnsi="宋体" w:eastAsia="方正仿宋简体"/>
          <w:sz w:val="32"/>
          <w:szCs w:val="32"/>
        </w:rPr>
      </w:pPr>
      <w:r>
        <w:rPr>
          <w:rFonts w:hint="eastAsia" w:ascii="宋体" w:hAnsi="宋体" w:eastAsia="方正仿宋简体"/>
          <w:color w:val="000000"/>
          <w:kern w:val="0"/>
          <w:sz w:val="32"/>
          <w:szCs w:val="32"/>
        </w:rPr>
        <w:t>综治中心功能发挥正常，联网应用更充分，视频会议、应急调度、治安防控等实战作用充分发挥。</w:t>
      </w:r>
    </w:p>
    <w:p w14:paraId="768D90AC">
      <w:pPr>
        <w:pStyle w:val="2"/>
        <w:spacing w:line="600" w:lineRule="exact"/>
        <w:ind w:firstLine="627" w:firstLineChars="196"/>
        <w:rPr>
          <w:rFonts w:ascii="宋体" w:hAnsi="宋体" w:eastAsia="方正黑体简体"/>
          <w:sz w:val="32"/>
          <w:szCs w:val="32"/>
        </w:rPr>
      </w:pPr>
      <w:r>
        <w:rPr>
          <w:rFonts w:ascii="宋体" w:hAnsi="宋体" w:eastAsia="方正黑体简体"/>
          <w:sz w:val="32"/>
          <w:szCs w:val="32"/>
        </w:rPr>
        <w:t>五、主要经验及做法、存在的问题和建议</w:t>
      </w:r>
    </w:p>
    <w:p w14:paraId="22091954">
      <w:pPr>
        <w:pStyle w:val="2"/>
        <w:spacing w:after="0" w:line="590" w:lineRule="exact"/>
        <w:ind w:firstLine="640" w:firstLineChars="200"/>
        <w:rPr>
          <w:rFonts w:hint="eastAsia" w:ascii="宋体" w:hAnsi="宋体" w:eastAsia="方正仿宋简体"/>
          <w:color w:val="FF0000"/>
          <w:sz w:val="32"/>
          <w:szCs w:val="32"/>
          <w:lang w:val="en-US" w:eastAsia="zh-CN"/>
        </w:rPr>
      </w:pPr>
      <w:r>
        <w:rPr>
          <w:rFonts w:hint="eastAsia" w:ascii="宋体" w:hAnsi="宋体" w:eastAsia="方正仿宋简体"/>
          <w:color w:val="000000"/>
          <w:kern w:val="0"/>
          <w:sz w:val="32"/>
          <w:szCs w:val="32"/>
        </w:rPr>
        <w:t>无。</w:t>
      </w:r>
    </w:p>
    <w:p w14:paraId="40301CE5">
      <w:pPr>
        <w:rPr>
          <w:rFonts w:hint="eastAsia" w:ascii="宋体" w:hAnsi="宋体" w:eastAsia="方正仿宋简体"/>
          <w:sz w:val="32"/>
          <w:szCs w:val="32"/>
        </w:rPr>
      </w:pPr>
    </w:p>
    <w:p w14:paraId="1C60D620">
      <w:pPr>
        <w:pStyle w:val="2"/>
        <w:rPr>
          <w:rFonts w:hint="eastAsia" w:ascii="宋体" w:hAnsi="宋体"/>
          <w:lang w:val="en-US" w:eastAsia="zh-CN"/>
        </w:rPr>
      </w:pPr>
    </w:p>
    <w:p w14:paraId="10CAA561">
      <w:pPr>
        <w:pStyle w:val="2"/>
        <w:spacing w:line="600" w:lineRule="exact"/>
        <w:ind w:firstLine="627" w:firstLineChars="196"/>
        <w:rPr>
          <w:rFonts w:ascii="宋体" w:hAnsi="宋体" w:eastAsia="方正仿宋简体"/>
          <w:color w:val="000000"/>
          <w:kern w:val="0"/>
          <w:sz w:val="32"/>
          <w:szCs w:val="32"/>
        </w:rPr>
      </w:pPr>
      <w:r>
        <w:rPr>
          <w:rFonts w:ascii="宋体" w:hAnsi="宋体" w:eastAsia="方正仿宋简体"/>
          <w:sz w:val="32"/>
          <w:szCs w:val="32"/>
        </w:rPr>
        <w:t>附：</w:t>
      </w:r>
      <w:r>
        <w:rPr>
          <w:rFonts w:ascii="宋体" w:hAnsi="宋体" w:eastAsia="方正仿宋简体"/>
          <w:color w:val="000000"/>
          <w:kern w:val="0"/>
          <w:sz w:val="32"/>
          <w:szCs w:val="32"/>
        </w:rPr>
        <w:t>1．20</w:t>
      </w:r>
      <w:r>
        <w:rPr>
          <w:rFonts w:hint="eastAsia" w:ascii="宋体" w:hAnsi="宋体" w:eastAsia="方正仿宋简体"/>
          <w:color w:val="000000"/>
          <w:kern w:val="0"/>
          <w:sz w:val="32"/>
          <w:szCs w:val="32"/>
        </w:rPr>
        <w:t>2</w:t>
      </w:r>
      <w:r>
        <w:rPr>
          <w:rFonts w:hint="eastAsia" w:ascii="宋体" w:hAnsi="宋体" w:eastAsia="方正仿宋简体"/>
          <w:color w:val="000000"/>
          <w:kern w:val="0"/>
          <w:sz w:val="32"/>
          <w:szCs w:val="32"/>
          <w:lang w:val="en-US" w:eastAsia="zh-CN"/>
        </w:rPr>
        <w:t>3</w:t>
      </w:r>
      <w:r>
        <w:rPr>
          <w:rFonts w:ascii="宋体" w:hAnsi="宋体" w:eastAsia="方正仿宋简体"/>
          <w:color w:val="000000"/>
          <w:kern w:val="0"/>
          <w:sz w:val="32"/>
          <w:szCs w:val="32"/>
        </w:rPr>
        <w:t>年度市本级项目支出绩效自评计分表</w:t>
      </w:r>
    </w:p>
    <w:p w14:paraId="4B792604">
      <w:pPr>
        <w:pStyle w:val="2"/>
        <w:spacing w:line="600" w:lineRule="exact"/>
        <w:ind w:firstLine="1280" w:firstLineChars="400"/>
        <w:rPr>
          <w:rFonts w:ascii="宋体" w:hAnsi="宋体" w:eastAsia="方正仿宋简体"/>
          <w:color w:val="000000"/>
          <w:kern w:val="0"/>
          <w:sz w:val="32"/>
          <w:szCs w:val="32"/>
        </w:rPr>
      </w:pPr>
      <w:r>
        <w:rPr>
          <w:rFonts w:ascii="宋体" w:hAnsi="宋体" w:eastAsia="方正仿宋简体"/>
          <w:sz w:val="32"/>
          <w:szCs w:val="32"/>
        </w:rPr>
        <w:t>2．</w:t>
      </w:r>
      <w:r>
        <w:rPr>
          <w:rFonts w:ascii="宋体" w:hAnsi="宋体" w:eastAsia="方正仿宋简体"/>
          <w:color w:val="000000"/>
          <w:kern w:val="0"/>
          <w:sz w:val="32"/>
          <w:szCs w:val="32"/>
        </w:rPr>
        <w:t>20</w:t>
      </w:r>
      <w:r>
        <w:rPr>
          <w:rFonts w:hint="eastAsia" w:ascii="宋体" w:hAnsi="宋体" w:eastAsia="方正仿宋简体"/>
          <w:color w:val="000000"/>
          <w:kern w:val="0"/>
          <w:sz w:val="32"/>
          <w:szCs w:val="32"/>
        </w:rPr>
        <w:t>2</w:t>
      </w:r>
      <w:r>
        <w:rPr>
          <w:rFonts w:hint="eastAsia" w:ascii="宋体" w:hAnsi="宋体" w:eastAsia="方正仿宋简体"/>
          <w:color w:val="000000"/>
          <w:kern w:val="0"/>
          <w:sz w:val="32"/>
          <w:szCs w:val="32"/>
          <w:lang w:val="en-US" w:eastAsia="zh-CN"/>
        </w:rPr>
        <w:t>3</w:t>
      </w:r>
      <w:r>
        <w:rPr>
          <w:rFonts w:ascii="宋体" w:hAnsi="宋体" w:eastAsia="方正仿宋简体"/>
          <w:color w:val="000000"/>
          <w:kern w:val="0"/>
          <w:sz w:val="32"/>
          <w:szCs w:val="32"/>
        </w:rPr>
        <w:t>年度市本级项目支出绩效目标完成情况表</w:t>
      </w:r>
    </w:p>
    <w:p w14:paraId="7C3A9B0D">
      <w:pPr>
        <w:rPr>
          <w:rFonts w:ascii="宋体" w:hAnsi="宋体"/>
        </w:rPr>
      </w:pPr>
    </w:p>
    <w:p w14:paraId="56A7FF19">
      <w:pPr>
        <w:spacing w:line="600" w:lineRule="exact"/>
        <w:jc w:val="left"/>
        <w:rPr>
          <w:rFonts w:ascii="宋体" w:hAnsi="宋体" w:eastAsia="方正黑体简体"/>
          <w:sz w:val="32"/>
          <w:szCs w:val="32"/>
        </w:rPr>
      </w:pPr>
    </w:p>
    <w:p w14:paraId="099B2F5B">
      <w:pPr>
        <w:spacing w:line="600" w:lineRule="exact"/>
        <w:jc w:val="left"/>
        <w:rPr>
          <w:rFonts w:ascii="宋体" w:hAnsi="宋体" w:eastAsia="方正黑体简体"/>
          <w:sz w:val="32"/>
          <w:szCs w:val="32"/>
        </w:rPr>
      </w:pPr>
    </w:p>
    <w:p w14:paraId="31D68D5B">
      <w:pPr>
        <w:pStyle w:val="2"/>
        <w:rPr>
          <w:rFonts w:ascii="宋体" w:hAnsi="宋体" w:eastAsia="方正黑体简体"/>
          <w:sz w:val="32"/>
          <w:szCs w:val="32"/>
        </w:rPr>
      </w:pPr>
    </w:p>
    <w:p w14:paraId="116F305A">
      <w:pPr>
        <w:pStyle w:val="3"/>
        <w:rPr>
          <w:rFonts w:ascii="宋体" w:hAnsi="宋体" w:eastAsia="方正黑体简体"/>
          <w:sz w:val="32"/>
          <w:szCs w:val="32"/>
        </w:rPr>
      </w:pPr>
    </w:p>
    <w:p w14:paraId="39B4A1EA">
      <w:pPr>
        <w:rPr>
          <w:rFonts w:ascii="宋体" w:hAnsi="宋体" w:eastAsia="方正黑体简体"/>
          <w:sz w:val="32"/>
          <w:szCs w:val="32"/>
        </w:rPr>
      </w:pPr>
    </w:p>
    <w:p w14:paraId="182BB75A">
      <w:pPr>
        <w:pStyle w:val="2"/>
        <w:rPr>
          <w:rFonts w:ascii="宋体" w:hAnsi="宋体" w:eastAsia="方正黑体简体"/>
          <w:sz w:val="32"/>
          <w:szCs w:val="32"/>
        </w:rPr>
      </w:pPr>
    </w:p>
    <w:p w14:paraId="25D8335E">
      <w:pPr>
        <w:pStyle w:val="3"/>
        <w:rPr>
          <w:rFonts w:ascii="宋体" w:hAnsi="宋体" w:eastAsia="方正黑体简体"/>
          <w:sz w:val="32"/>
          <w:szCs w:val="32"/>
        </w:rPr>
      </w:pPr>
    </w:p>
    <w:p w14:paraId="3F324FC8">
      <w:pPr>
        <w:rPr>
          <w:rFonts w:ascii="宋体" w:hAnsi="宋体" w:eastAsia="方正黑体简体"/>
          <w:sz w:val="32"/>
          <w:szCs w:val="32"/>
        </w:rPr>
      </w:pPr>
    </w:p>
    <w:p w14:paraId="69B8CBAA">
      <w:pPr>
        <w:pStyle w:val="2"/>
        <w:rPr>
          <w:rFonts w:ascii="宋体" w:hAnsi="宋体" w:eastAsia="方正黑体简体"/>
          <w:sz w:val="32"/>
          <w:szCs w:val="32"/>
        </w:rPr>
      </w:pPr>
    </w:p>
    <w:p w14:paraId="7FD339F0">
      <w:pPr>
        <w:pStyle w:val="3"/>
        <w:rPr>
          <w:rFonts w:ascii="宋体" w:hAnsi="宋体" w:eastAsia="方正黑体简体"/>
          <w:sz w:val="32"/>
          <w:szCs w:val="32"/>
        </w:rPr>
      </w:pPr>
    </w:p>
    <w:p w14:paraId="7B601EA1">
      <w:pPr>
        <w:rPr>
          <w:rFonts w:ascii="宋体" w:hAnsi="宋体" w:eastAsia="方正黑体简体"/>
          <w:sz w:val="32"/>
          <w:szCs w:val="32"/>
        </w:rPr>
      </w:pPr>
    </w:p>
    <w:p w14:paraId="4A6B72E6">
      <w:pPr>
        <w:pStyle w:val="2"/>
        <w:rPr>
          <w:rFonts w:ascii="宋体" w:hAnsi="宋体" w:eastAsia="方正黑体简体"/>
          <w:sz w:val="32"/>
          <w:szCs w:val="32"/>
        </w:rPr>
      </w:pPr>
    </w:p>
    <w:p w14:paraId="5732C0A7">
      <w:pPr>
        <w:pStyle w:val="3"/>
        <w:rPr>
          <w:rFonts w:ascii="宋体" w:hAnsi="宋体" w:eastAsia="方正黑体简体"/>
          <w:sz w:val="32"/>
          <w:szCs w:val="32"/>
        </w:rPr>
      </w:pPr>
    </w:p>
    <w:p w14:paraId="49E5C31C">
      <w:pPr>
        <w:rPr>
          <w:rFonts w:ascii="宋体" w:hAnsi="宋体" w:eastAsia="方正黑体简体"/>
          <w:sz w:val="32"/>
          <w:szCs w:val="32"/>
        </w:rPr>
      </w:pPr>
    </w:p>
    <w:p w14:paraId="01178A22">
      <w:pPr>
        <w:rPr>
          <w:rFonts w:ascii="宋体" w:hAnsi="宋体"/>
        </w:rPr>
      </w:pPr>
    </w:p>
    <w:p w14:paraId="21202827">
      <w:pPr>
        <w:pStyle w:val="2"/>
        <w:rPr>
          <w:rFonts w:ascii="宋体" w:hAnsi="宋体"/>
        </w:rPr>
      </w:pPr>
    </w:p>
    <w:p w14:paraId="3096C104">
      <w:pPr>
        <w:spacing w:line="600" w:lineRule="exact"/>
        <w:jc w:val="left"/>
        <w:rPr>
          <w:rFonts w:hint="eastAsia" w:ascii="宋体" w:hAnsi="宋体" w:eastAsia="方正黑体简体"/>
          <w:sz w:val="32"/>
          <w:szCs w:val="32"/>
        </w:rPr>
      </w:pPr>
      <w:r>
        <w:rPr>
          <w:rFonts w:ascii="宋体" w:hAnsi="宋体" w:eastAsia="方正黑体简体"/>
          <w:sz w:val="32"/>
          <w:szCs w:val="32"/>
        </w:rPr>
        <w:t>附</w:t>
      </w:r>
      <w:r>
        <w:rPr>
          <w:rFonts w:hint="eastAsia" w:ascii="宋体" w:hAnsi="宋体" w:eastAsia="方正黑体简体"/>
          <w:sz w:val="32"/>
          <w:szCs w:val="32"/>
          <w:lang w:eastAsia="zh-CN"/>
        </w:rPr>
        <w:t>表</w:t>
      </w:r>
      <w:r>
        <w:rPr>
          <w:rFonts w:hint="eastAsia" w:ascii="宋体" w:hAnsi="宋体" w:eastAsia="方正黑体简体"/>
          <w:sz w:val="32"/>
          <w:szCs w:val="32"/>
          <w:lang w:val="en-US" w:eastAsia="zh-CN"/>
        </w:rPr>
        <w:t>1-</w:t>
      </w:r>
      <w:r>
        <w:rPr>
          <w:rFonts w:hint="eastAsia" w:ascii="宋体" w:hAnsi="宋体" w:eastAsia="方正黑体简体"/>
          <w:sz w:val="32"/>
          <w:szCs w:val="32"/>
        </w:rPr>
        <w:t>1</w:t>
      </w:r>
    </w:p>
    <w:p w14:paraId="252C2789">
      <w:pPr>
        <w:spacing w:line="600" w:lineRule="exact"/>
        <w:jc w:val="center"/>
        <w:rPr>
          <w:rFonts w:ascii="宋体" w:hAnsi="宋体" w:eastAsia="方正小标宋简体"/>
          <w:bCs/>
          <w:kern w:val="0"/>
          <w:sz w:val="40"/>
          <w:szCs w:val="40"/>
        </w:rPr>
      </w:pPr>
      <w:r>
        <w:rPr>
          <w:rFonts w:ascii="宋体" w:hAnsi="宋体" w:eastAsia="方正小标宋简体"/>
          <w:bCs/>
          <w:kern w:val="0"/>
          <w:sz w:val="40"/>
          <w:szCs w:val="40"/>
        </w:rPr>
        <w:t>20</w:t>
      </w:r>
      <w:r>
        <w:rPr>
          <w:rFonts w:hint="eastAsia" w:ascii="宋体" w:hAnsi="宋体" w:eastAsia="方正小标宋简体"/>
          <w:bCs/>
          <w:kern w:val="0"/>
          <w:sz w:val="40"/>
          <w:szCs w:val="40"/>
        </w:rPr>
        <w:t>23</w:t>
      </w:r>
      <w:r>
        <w:rPr>
          <w:rFonts w:ascii="宋体" w:hAnsi="宋体" w:eastAsia="方正小标宋简体"/>
          <w:bCs/>
          <w:kern w:val="0"/>
          <w:sz w:val="40"/>
          <w:szCs w:val="40"/>
        </w:rPr>
        <w:t>年度市本级项目支出绩效自评计分表</w:t>
      </w:r>
    </w:p>
    <w:p w14:paraId="33565CCF">
      <w:pPr>
        <w:spacing w:line="600" w:lineRule="exact"/>
        <w:jc w:val="center"/>
        <w:rPr>
          <w:rFonts w:ascii="宋体" w:hAnsi="宋体" w:eastAsia="楷体_GB2312"/>
          <w:b/>
          <w:bCs/>
          <w:kern w:val="0"/>
          <w:sz w:val="20"/>
          <w:szCs w:val="20"/>
        </w:rPr>
      </w:pPr>
      <w:r>
        <w:rPr>
          <w:rFonts w:ascii="宋体" w:hAnsi="宋体" w:eastAsia="楷体_GB2312"/>
          <w:b/>
          <w:bCs/>
          <w:kern w:val="0"/>
          <w:sz w:val="20"/>
          <w:szCs w:val="20"/>
        </w:rPr>
        <w:t>（</w:t>
      </w:r>
      <w:r>
        <w:rPr>
          <w:rFonts w:hint="eastAsia" w:ascii="宋体" w:hAnsi="宋体" w:eastAsia="楷体_GB2312"/>
          <w:b/>
          <w:bCs/>
          <w:kern w:val="0"/>
          <w:sz w:val="20"/>
          <w:szCs w:val="20"/>
        </w:rPr>
        <w:t>综治中心专网租赁</w:t>
      </w:r>
      <w:r>
        <w:rPr>
          <w:rFonts w:ascii="宋体" w:hAnsi="宋体" w:eastAsia="楷体_GB2312"/>
          <w:b/>
          <w:bCs/>
          <w:kern w:val="0"/>
          <w:sz w:val="20"/>
          <w:szCs w:val="20"/>
        </w:rPr>
        <w:t>项目）</w:t>
      </w:r>
    </w:p>
    <w:p w14:paraId="71561939">
      <w:pPr>
        <w:spacing w:line="600" w:lineRule="exact"/>
        <w:rPr>
          <w:rFonts w:hint="eastAsia" w:ascii="宋体" w:hAnsi="宋体" w:eastAsia="楷体_GB2312"/>
          <w:sz w:val="32"/>
          <w:szCs w:val="32"/>
        </w:rPr>
      </w:pPr>
      <w:r>
        <w:rPr>
          <w:rFonts w:ascii="宋体" w:hAnsi="宋体" w:eastAsia="楷体_GB2312"/>
          <w:b/>
          <w:bCs/>
          <w:kern w:val="0"/>
          <w:sz w:val="20"/>
          <w:szCs w:val="20"/>
        </w:rPr>
        <w:t>预算单位名称：</w:t>
      </w:r>
      <w:r>
        <w:rPr>
          <w:rFonts w:hint="eastAsia" w:ascii="宋体" w:hAnsi="宋体" w:eastAsia="楷体_GB2312"/>
          <w:b/>
          <w:bCs/>
          <w:kern w:val="0"/>
          <w:sz w:val="20"/>
          <w:szCs w:val="20"/>
        </w:rPr>
        <w:t>中共资阳市委政法委员会</w:t>
      </w:r>
      <w:r>
        <w:rPr>
          <w:rFonts w:ascii="宋体" w:hAnsi="宋体" w:eastAsia="楷体_GB2312"/>
          <w:b/>
          <w:bCs/>
          <w:kern w:val="0"/>
          <w:sz w:val="20"/>
          <w:szCs w:val="20"/>
        </w:rPr>
        <w:t xml:space="preserve">       预算单位编码：</w:t>
      </w:r>
      <w:r>
        <w:rPr>
          <w:rFonts w:hint="eastAsia" w:ascii="宋体" w:hAnsi="宋体" w:eastAsia="楷体_GB2312"/>
          <w:b/>
          <w:bCs/>
          <w:kern w:val="0"/>
          <w:sz w:val="20"/>
          <w:szCs w:val="20"/>
        </w:rPr>
        <w:t>106001</w:t>
      </w:r>
      <w:r>
        <w:rPr>
          <w:rFonts w:ascii="宋体" w:hAnsi="宋体" w:eastAsia="楷体_GB2312"/>
          <w:b/>
          <w:bCs/>
          <w:kern w:val="0"/>
          <w:sz w:val="20"/>
          <w:szCs w:val="20"/>
        </w:rPr>
        <w:t xml:space="preserve">       自评等级：</w:t>
      </w:r>
      <w:r>
        <w:rPr>
          <w:rFonts w:hint="eastAsia" w:ascii="宋体" w:hAnsi="宋体" w:eastAsia="楷体_GB2312"/>
          <w:b/>
          <w:bCs/>
          <w:kern w:val="0"/>
          <w:sz w:val="20"/>
          <w:szCs w:val="20"/>
        </w:rPr>
        <w:t>优</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48"/>
        <w:gridCol w:w="798"/>
        <w:gridCol w:w="1648"/>
        <w:gridCol w:w="3489"/>
        <w:gridCol w:w="877"/>
        <w:gridCol w:w="846"/>
      </w:tblGrid>
      <w:tr w14:paraId="0214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816" w:type="dxa"/>
            <w:shd w:val="clear" w:color="000000" w:fill="FFFFFF"/>
            <w:noWrap w:val="0"/>
            <w:vAlign w:val="center"/>
          </w:tcPr>
          <w:p w14:paraId="0928DC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一级</w:t>
            </w:r>
            <w:r>
              <w:rPr>
                <w:rFonts w:ascii="宋体" w:hAnsi="宋体"/>
                <w:b/>
                <w:bCs/>
                <w:kern w:val="0"/>
                <w:sz w:val="20"/>
                <w:szCs w:val="20"/>
              </w:rPr>
              <w:br w:type="textWrapping"/>
            </w:r>
            <w:r>
              <w:rPr>
                <w:rFonts w:ascii="宋体" w:hAnsi="宋体"/>
                <w:b/>
                <w:bCs/>
                <w:kern w:val="0"/>
                <w:sz w:val="20"/>
                <w:szCs w:val="20"/>
              </w:rPr>
              <w:t>指标</w:t>
            </w:r>
          </w:p>
        </w:tc>
        <w:tc>
          <w:tcPr>
            <w:tcW w:w="648" w:type="dxa"/>
            <w:shd w:val="clear" w:color="000000" w:fill="FFFFFF"/>
            <w:noWrap w:val="0"/>
            <w:vAlign w:val="center"/>
          </w:tcPr>
          <w:p w14:paraId="023D9E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二级</w:t>
            </w:r>
            <w:r>
              <w:rPr>
                <w:rFonts w:ascii="宋体" w:hAnsi="宋体"/>
                <w:b/>
                <w:bCs/>
                <w:kern w:val="0"/>
                <w:sz w:val="20"/>
                <w:szCs w:val="20"/>
              </w:rPr>
              <w:br w:type="textWrapping"/>
            </w:r>
            <w:r>
              <w:rPr>
                <w:rFonts w:ascii="宋体" w:hAnsi="宋体"/>
                <w:b/>
                <w:bCs/>
                <w:kern w:val="0"/>
                <w:sz w:val="20"/>
                <w:szCs w:val="20"/>
              </w:rPr>
              <w:t>指标</w:t>
            </w:r>
          </w:p>
        </w:tc>
        <w:tc>
          <w:tcPr>
            <w:tcW w:w="798" w:type="dxa"/>
            <w:shd w:val="clear" w:color="000000" w:fill="FFFFFF"/>
            <w:noWrap w:val="0"/>
            <w:vAlign w:val="center"/>
          </w:tcPr>
          <w:p w14:paraId="743A32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三级</w:t>
            </w:r>
          </w:p>
          <w:p w14:paraId="2ED417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w:t>
            </w:r>
          </w:p>
        </w:tc>
        <w:tc>
          <w:tcPr>
            <w:tcW w:w="1648" w:type="dxa"/>
            <w:shd w:val="clear" w:color="000000" w:fill="FFFFFF"/>
            <w:noWrap w:val="0"/>
            <w:vAlign w:val="center"/>
          </w:tcPr>
          <w:p w14:paraId="64608D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指标解释</w:t>
            </w:r>
          </w:p>
        </w:tc>
        <w:tc>
          <w:tcPr>
            <w:tcW w:w="3489" w:type="dxa"/>
            <w:shd w:val="clear" w:color="000000" w:fill="FFFFFF"/>
            <w:noWrap w:val="0"/>
            <w:vAlign w:val="center"/>
          </w:tcPr>
          <w:p w14:paraId="2B0CA8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指标说明（评价计分标准）</w:t>
            </w:r>
          </w:p>
        </w:tc>
        <w:tc>
          <w:tcPr>
            <w:tcW w:w="877" w:type="dxa"/>
            <w:shd w:val="clear" w:color="000000" w:fill="FFFFFF"/>
            <w:noWrap w:val="0"/>
            <w:vAlign w:val="center"/>
          </w:tcPr>
          <w:p w14:paraId="69F0FA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自评</w:t>
            </w:r>
          </w:p>
          <w:p w14:paraId="584388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分数</w:t>
            </w:r>
          </w:p>
        </w:tc>
        <w:tc>
          <w:tcPr>
            <w:tcW w:w="846" w:type="dxa"/>
            <w:shd w:val="clear" w:color="000000" w:fill="FFFFFF"/>
            <w:noWrap w:val="0"/>
            <w:vAlign w:val="center"/>
          </w:tcPr>
          <w:p w14:paraId="2195E5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自评依据及说明</w:t>
            </w:r>
          </w:p>
        </w:tc>
      </w:tr>
      <w:tr w14:paraId="778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816" w:type="dxa"/>
            <w:vMerge w:val="restart"/>
            <w:shd w:val="clear" w:color="000000" w:fill="FFFFFF"/>
            <w:noWrap w:val="0"/>
            <w:textDirection w:val="tbRlV"/>
            <w:vAlign w:val="center"/>
          </w:tcPr>
          <w:p w14:paraId="44D323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投   入（25分）</w:t>
            </w:r>
          </w:p>
        </w:tc>
        <w:tc>
          <w:tcPr>
            <w:tcW w:w="648" w:type="dxa"/>
            <w:vMerge w:val="restart"/>
            <w:shd w:val="clear" w:color="000000" w:fill="FFFFFF"/>
            <w:noWrap w:val="0"/>
            <w:vAlign w:val="center"/>
          </w:tcPr>
          <w:p w14:paraId="62976E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立项（15分）</w:t>
            </w:r>
          </w:p>
        </w:tc>
        <w:tc>
          <w:tcPr>
            <w:tcW w:w="798" w:type="dxa"/>
            <w:shd w:val="clear" w:color="000000" w:fill="FFFFFF"/>
            <w:noWrap w:val="0"/>
            <w:vAlign w:val="center"/>
          </w:tcPr>
          <w:p w14:paraId="2822DC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项目立项规范性（5分）</w:t>
            </w:r>
          </w:p>
        </w:tc>
        <w:tc>
          <w:tcPr>
            <w:tcW w:w="1648" w:type="dxa"/>
            <w:shd w:val="clear" w:color="000000" w:fill="FFFFFF"/>
            <w:noWrap w:val="0"/>
            <w:vAlign w:val="center"/>
          </w:tcPr>
          <w:p w14:paraId="319DE3A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项目的申请、设立过程是否符合相关要求，用以反映和考核项目立项的规范情况。</w:t>
            </w:r>
          </w:p>
        </w:tc>
        <w:tc>
          <w:tcPr>
            <w:tcW w:w="3489" w:type="dxa"/>
            <w:shd w:val="clear" w:color="000000" w:fill="FFFFFF"/>
            <w:noWrap w:val="0"/>
            <w:vAlign w:val="center"/>
          </w:tcPr>
          <w:p w14:paraId="6B2ED9B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项目是否按照规定的程序申请设立；（1分）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所提交的文件、材料是否符合相关要求；（2分）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事前是否已经过必要的可行性研究、专家论证、风险评估、集体决策等。（2分）</w:t>
            </w:r>
          </w:p>
        </w:tc>
        <w:tc>
          <w:tcPr>
            <w:tcW w:w="877" w:type="dxa"/>
            <w:noWrap w:val="0"/>
            <w:vAlign w:val="center"/>
          </w:tcPr>
          <w:p w14:paraId="1A84CAF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5</w:t>
            </w:r>
            <w:r>
              <w:rPr>
                <w:rFonts w:ascii="宋体" w:hAnsi="宋体"/>
                <w:kern w:val="0"/>
                <w:sz w:val="24"/>
              </w:rPr>
              <w:t>　</w:t>
            </w:r>
          </w:p>
        </w:tc>
        <w:tc>
          <w:tcPr>
            <w:tcW w:w="846" w:type="dxa"/>
            <w:noWrap w:val="0"/>
            <w:vAlign w:val="center"/>
          </w:tcPr>
          <w:p w14:paraId="0ABE72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169A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816" w:type="dxa"/>
            <w:vMerge w:val="continue"/>
            <w:shd w:val="clear" w:color="auto" w:fill="auto"/>
            <w:noWrap w:val="0"/>
            <w:vAlign w:val="center"/>
          </w:tcPr>
          <w:p w14:paraId="6585FCE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56F2CBD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10EE434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绩效目标合理性（4分）</w:t>
            </w:r>
          </w:p>
        </w:tc>
        <w:tc>
          <w:tcPr>
            <w:tcW w:w="1648" w:type="dxa"/>
            <w:shd w:val="clear" w:color="000000" w:fill="FFFFFF"/>
            <w:noWrap w:val="0"/>
            <w:vAlign w:val="center"/>
          </w:tcPr>
          <w:p w14:paraId="3D4D464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项目所设定的绩效目标是否依据充分，是否符合客观实际，用以反映和考核项目绩效目标与项目实施的相符情况。</w:t>
            </w:r>
          </w:p>
        </w:tc>
        <w:tc>
          <w:tcPr>
            <w:tcW w:w="3489" w:type="dxa"/>
            <w:shd w:val="clear" w:color="000000" w:fill="FFFFFF"/>
            <w:noWrap w:val="0"/>
            <w:vAlign w:val="center"/>
          </w:tcPr>
          <w:p w14:paraId="6A718C0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是否符合国家相关法律法规、国民经济发展规划和党委政府决策；（1分）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是否与项目实施单位或委托单位职责密切相关；（1分）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项目是否为促进事业发展所必需；（1分）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项目预期产出效益和效果是否符合正常的业绩水平。（1分）</w:t>
            </w:r>
          </w:p>
        </w:tc>
        <w:tc>
          <w:tcPr>
            <w:tcW w:w="877" w:type="dxa"/>
            <w:noWrap w:val="0"/>
            <w:vAlign w:val="center"/>
          </w:tcPr>
          <w:p w14:paraId="661906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4</w:t>
            </w:r>
          </w:p>
        </w:tc>
        <w:tc>
          <w:tcPr>
            <w:tcW w:w="846" w:type="dxa"/>
            <w:noWrap w:val="0"/>
            <w:vAlign w:val="center"/>
          </w:tcPr>
          <w:p w14:paraId="2BE41D5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3C3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816" w:type="dxa"/>
            <w:vMerge w:val="continue"/>
            <w:shd w:val="clear" w:color="auto" w:fill="auto"/>
            <w:noWrap w:val="0"/>
            <w:vAlign w:val="center"/>
          </w:tcPr>
          <w:p w14:paraId="223F8A7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145E290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0C7782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绩效指标明确性（6分）</w:t>
            </w:r>
          </w:p>
        </w:tc>
        <w:tc>
          <w:tcPr>
            <w:tcW w:w="1648" w:type="dxa"/>
            <w:shd w:val="clear" w:color="000000" w:fill="FFFFFF"/>
            <w:noWrap w:val="0"/>
            <w:vAlign w:val="center"/>
          </w:tcPr>
          <w:p w14:paraId="703169C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依据绩效目标设定的绩效指标是否清晰、细化、可衡量等，用以反映和考核项目绩效目标的明细化情况。</w:t>
            </w:r>
          </w:p>
        </w:tc>
        <w:tc>
          <w:tcPr>
            <w:tcW w:w="3489" w:type="dxa"/>
            <w:shd w:val="clear" w:color="000000" w:fill="FFFFFF"/>
            <w:noWrap w:val="0"/>
            <w:vAlign w:val="center"/>
          </w:tcPr>
          <w:p w14:paraId="42D1BEE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是否将项目绩效目标细化分解为具体的绩效指标；（2分）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是否通过清晰、可衡量的指标值予以体现；（1分）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是否与项目年度任务数或计划数相对应；（1分）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是否与预算确定的项目投资额或资金量相匹配。（2分）</w:t>
            </w:r>
          </w:p>
        </w:tc>
        <w:tc>
          <w:tcPr>
            <w:tcW w:w="877" w:type="dxa"/>
            <w:noWrap w:val="0"/>
            <w:vAlign w:val="center"/>
          </w:tcPr>
          <w:p w14:paraId="72B38C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6</w:t>
            </w:r>
            <w:r>
              <w:rPr>
                <w:rFonts w:ascii="宋体" w:hAnsi="宋体"/>
                <w:kern w:val="0"/>
                <w:sz w:val="24"/>
              </w:rPr>
              <w:t>　</w:t>
            </w:r>
          </w:p>
        </w:tc>
        <w:tc>
          <w:tcPr>
            <w:tcW w:w="846" w:type="dxa"/>
            <w:noWrap w:val="0"/>
            <w:vAlign w:val="center"/>
          </w:tcPr>
          <w:p w14:paraId="4E51511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908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816" w:type="dxa"/>
            <w:vMerge w:val="continue"/>
            <w:shd w:val="clear" w:color="auto" w:fill="auto"/>
            <w:noWrap w:val="0"/>
            <w:vAlign w:val="center"/>
          </w:tcPr>
          <w:p w14:paraId="3B0B4EA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restart"/>
            <w:shd w:val="clear" w:color="000000" w:fill="FFFFFF"/>
            <w:noWrap w:val="0"/>
            <w:vAlign w:val="center"/>
          </w:tcPr>
          <w:p w14:paraId="55C2A5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资金</w:t>
            </w:r>
            <w:r>
              <w:rPr>
                <w:rFonts w:ascii="宋体" w:hAnsi="宋体"/>
                <w:kern w:val="0"/>
                <w:sz w:val="20"/>
                <w:szCs w:val="20"/>
              </w:rPr>
              <w:br w:type="textWrapping"/>
            </w:r>
            <w:r>
              <w:rPr>
                <w:rFonts w:ascii="宋体" w:hAnsi="宋体"/>
                <w:kern w:val="0"/>
                <w:sz w:val="20"/>
                <w:szCs w:val="20"/>
              </w:rPr>
              <w:t>落实（10分）</w:t>
            </w:r>
          </w:p>
        </w:tc>
        <w:tc>
          <w:tcPr>
            <w:tcW w:w="798" w:type="dxa"/>
            <w:shd w:val="clear" w:color="000000" w:fill="FFFFFF"/>
            <w:noWrap w:val="0"/>
            <w:vAlign w:val="center"/>
          </w:tcPr>
          <w:p w14:paraId="604C219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资金到位率（5分）</w:t>
            </w:r>
          </w:p>
        </w:tc>
        <w:tc>
          <w:tcPr>
            <w:tcW w:w="1648" w:type="dxa"/>
            <w:shd w:val="clear" w:color="000000" w:fill="FFFFFF"/>
            <w:noWrap w:val="0"/>
            <w:vAlign w:val="center"/>
          </w:tcPr>
          <w:p w14:paraId="36DDBBC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实际到位资金与计划投入资金的比率，用以反映和考核资金落实情况对项目实施的总体保障程度。</w:t>
            </w:r>
          </w:p>
        </w:tc>
        <w:tc>
          <w:tcPr>
            <w:tcW w:w="3489" w:type="dxa"/>
            <w:shd w:val="clear" w:color="000000" w:fill="FFFFFF"/>
            <w:noWrap w:val="0"/>
            <w:vAlign w:val="center"/>
          </w:tcPr>
          <w:p w14:paraId="3C24B96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资金到位率=（实际到位资金/计划投入资金）×100%。（达到目标值得5分，每少一个百分点扣1分，扣完为止）</w:t>
            </w:r>
            <w:r>
              <w:rPr>
                <w:rFonts w:ascii="宋体" w:hAnsi="宋体"/>
                <w:kern w:val="0"/>
                <w:sz w:val="20"/>
                <w:szCs w:val="20"/>
              </w:rPr>
              <w:br w:type="textWrapping"/>
            </w:r>
            <w:r>
              <w:rPr>
                <w:rFonts w:ascii="宋体" w:hAnsi="宋体"/>
                <w:kern w:val="0"/>
                <w:sz w:val="20"/>
                <w:szCs w:val="20"/>
              </w:rPr>
              <w:t>实际到位资金：一定时期（本年度或项目期）内实际落实到具体项目的资金。</w:t>
            </w:r>
            <w:r>
              <w:rPr>
                <w:rFonts w:ascii="宋体" w:hAnsi="宋体"/>
                <w:kern w:val="0"/>
                <w:sz w:val="20"/>
                <w:szCs w:val="20"/>
              </w:rPr>
              <w:br w:type="textWrapping"/>
            </w:r>
            <w:r>
              <w:rPr>
                <w:rFonts w:ascii="宋体" w:hAnsi="宋体"/>
                <w:kern w:val="0"/>
                <w:sz w:val="20"/>
                <w:szCs w:val="20"/>
              </w:rPr>
              <w:t>计划投入资金：一定时期（本年度或项目期）内计划投入到具体项目的资金。</w:t>
            </w:r>
          </w:p>
        </w:tc>
        <w:tc>
          <w:tcPr>
            <w:tcW w:w="877" w:type="dxa"/>
            <w:noWrap w:val="0"/>
            <w:vAlign w:val="center"/>
          </w:tcPr>
          <w:p w14:paraId="31DE78D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5</w:t>
            </w:r>
          </w:p>
        </w:tc>
        <w:tc>
          <w:tcPr>
            <w:tcW w:w="846" w:type="dxa"/>
            <w:noWrap w:val="0"/>
            <w:vAlign w:val="center"/>
          </w:tcPr>
          <w:p w14:paraId="685FAAA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576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16" w:type="dxa"/>
            <w:vMerge w:val="continue"/>
            <w:shd w:val="clear" w:color="auto" w:fill="auto"/>
            <w:noWrap w:val="0"/>
            <w:vAlign w:val="center"/>
          </w:tcPr>
          <w:p w14:paraId="171A55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354B1F6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6FA173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到位及时率（5分）</w:t>
            </w:r>
          </w:p>
        </w:tc>
        <w:tc>
          <w:tcPr>
            <w:tcW w:w="1648" w:type="dxa"/>
            <w:shd w:val="clear" w:color="000000" w:fill="FFFFFF"/>
            <w:noWrap w:val="0"/>
            <w:vAlign w:val="center"/>
          </w:tcPr>
          <w:p w14:paraId="2D75D4F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及时到位资金与应到位资金的比率，用以反映和考核项目资金落实的及时性程度。</w:t>
            </w:r>
          </w:p>
        </w:tc>
        <w:tc>
          <w:tcPr>
            <w:tcW w:w="3489" w:type="dxa"/>
            <w:shd w:val="clear" w:color="000000" w:fill="FFFFFF"/>
            <w:noWrap w:val="0"/>
            <w:vAlign w:val="center"/>
          </w:tcPr>
          <w:p w14:paraId="117B81F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到位及时率=（及时到位资金/应到位资金）×100%。（达到目标值得5分，每少一个百分点扣1分，扣完为止）</w:t>
            </w:r>
            <w:r>
              <w:rPr>
                <w:rFonts w:ascii="宋体" w:hAnsi="宋体"/>
                <w:kern w:val="0"/>
                <w:sz w:val="20"/>
                <w:szCs w:val="20"/>
              </w:rPr>
              <w:br w:type="textWrapping"/>
            </w:r>
            <w:r>
              <w:rPr>
                <w:rFonts w:ascii="宋体" w:hAnsi="宋体"/>
                <w:kern w:val="0"/>
                <w:sz w:val="20"/>
                <w:szCs w:val="20"/>
              </w:rPr>
              <w:t>及时到位资金：截至规定时点实际落实到具体项目的资金。</w:t>
            </w:r>
            <w:r>
              <w:rPr>
                <w:rFonts w:ascii="宋体" w:hAnsi="宋体"/>
                <w:kern w:val="0"/>
                <w:sz w:val="20"/>
                <w:szCs w:val="20"/>
              </w:rPr>
              <w:br w:type="textWrapping"/>
            </w:r>
            <w:r>
              <w:rPr>
                <w:rFonts w:ascii="宋体" w:hAnsi="宋体"/>
                <w:kern w:val="0"/>
                <w:sz w:val="20"/>
                <w:szCs w:val="20"/>
              </w:rPr>
              <w:t>应到位资金：按照合同或项目进度要求截至规定时点应落实到具体项目的资金。</w:t>
            </w:r>
          </w:p>
        </w:tc>
        <w:tc>
          <w:tcPr>
            <w:tcW w:w="877" w:type="dxa"/>
            <w:noWrap w:val="0"/>
            <w:vAlign w:val="center"/>
          </w:tcPr>
          <w:p w14:paraId="307C47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5</w:t>
            </w:r>
          </w:p>
        </w:tc>
        <w:tc>
          <w:tcPr>
            <w:tcW w:w="846" w:type="dxa"/>
            <w:noWrap w:val="0"/>
            <w:vAlign w:val="center"/>
          </w:tcPr>
          <w:p w14:paraId="528ECD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4D3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16" w:type="dxa"/>
            <w:vMerge w:val="restart"/>
            <w:shd w:val="clear" w:color="000000" w:fill="FFFFFF"/>
            <w:noWrap w:val="0"/>
            <w:textDirection w:val="tbRlV"/>
            <w:vAlign w:val="center"/>
          </w:tcPr>
          <w:p w14:paraId="6CD3F4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过   程（25分）</w:t>
            </w:r>
          </w:p>
        </w:tc>
        <w:tc>
          <w:tcPr>
            <w:tcW w:w="648" w:type="dxa"/>
            <w:vMerge w:val="restart"/>
            <w:shd w:val="clear" w:color="000000" w:fill="FFFFFF"/>
            <w:noWrap w:val="0"/>
            <w:vAlign w:val="center"/>
          </w:tcPr>
          <w:p w14:paraId="46516F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业务</w:t>
            </w:r>
            <w:r>
              <w:rPr>
                <w:rFonts w:ascii="宋体" w:hAnsi="宋体"/>
                <w:kern w:val="0"/>
                <w:sz w:val="20"/>
                <w:szCs w:val="20"/>
              </w:rPr>
              <w:br w:type="textWrapping"/>
            </w:r>
            <w:r>
              <w:rPr>
                <w:rFonts w:ascii="宋体" w:hAnsi="宋体"/>
                <w:kern w:val="0"/>
                <w:sz w:val="20"/>
                <w:szCs w:val="20"/>
              </w:rPr>
              <w:t>管理（13分）</w:t>
            </w:r>
          </w:p>
        </w:tc>
        <w:tc>
          <w:tcPr>
            <w:tcW w:w="798" w:type="dxa"/>
            <w:shd w:val="clear" w:color="000000" w:fill="FFFFFF"/>
            <w:noWrap w:val="0"/>
            <w:vAlign w:val="center"/>
          </w:tcPr>
          <w:p w14:paraId="14A2F46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管理制度健全性（4分）</w:t>
            </w:r>
          </w:p>
        </w:tc>
        <w:tc>
          <w:tcPr>
            <w:tcW w:w="1648" w:type="dxa"/>
            <w:shd w:val="clear" w:color="000000" w:fill="FFFFFF"/>
            <w:noWrap w:val="0"/>
            <w:vAlign w:val="center"/>
          </w:tcPr>
          <w:p w14:paraId="4C93ABE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项目实施单位的业务管理制度是否健全，用以反映和考核业务管理制度对项目顺利实施的保障情况。</w:t>
            </w:r>
          </w:p>
        </w:tc>
        <w:tc>
          <w:tcPr>
            <w:tcW w:w="3489" w:type="dxa"/>
            <w:shd w:val="clear" w:color="000000" w:fill="FFFFFF"/>
            <w:noWrap w:val="0"/>
            <w:vAlign w:val="center"/>
          </w:tcPr>
          <w:p w14:paraId="280E072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是否已制定或具有相应的业务管理制度；（2分）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业务管理制度是否合法、合规、完整。（2分）</w:t>
            </w:r>
          </w:p>
        </w:tc>
        <w:tc>
          <w:tcPr>
            <w:tcW w:w="877" w:type="dxa"/>
            <w:noWrap w:val="0"/>
            <w:vAlign w:val="center"/>
          </w:tcPr>
          <w:p w14:paraId="5D28FD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4</w:t>
            </w:r>
          </w:p>
        </w:tc>
        <w:tc>
          <w:tcPr>
            <w:tcW w:w="846" w:type="dxa"/>
            <w:noWrap w:val="0"/>
            <w:vAlign w:val="center"/>
          </w:tcPr>
          <w:p w14:paraId="011AF82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A4A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16" w:type="dxa"/>
            <w:vMerge w:val="continue"/>
            <w:shd w:val="clear" w:color="auto" w:fill="auto"/>
            <w:noWrap w:val="0"/>
            <w:vAlign w:val="center"/>
          </w:tcPr>
          <w:p w14:paraId="746638B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6874D3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45861AA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制度执行有效性（6分)</w:t>
            </w:r>
          </w:p>
        </w:tc>
        <w:tc>
          <w:tcPr>
            <w:tcW w:w="1648" w:type="dxa"/>
            <w:shd w:val="clear" w:color="000000" w:fill="FFFFFF"/>
            <w:noWrap w:val="0"/>
            <w:vAlign w:val="center"/>
          </w:tcPr>
          <w:p w14:paraId="32B2A26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项目实施是否符合相关业务管理规定，用以反映和考核业务管理制度的有效执行情况。</w:t>
            </w:r>
          </w:p>
        </w:tc>
        <w:tc>
          <w:tcPr>
            <w:tcW w:w="3489" w:type="dxa"/>
            <w:shd w:val="clear" w:color="000000" w:fill="FFFFFF"/>
            <w:noWrap w:val="0"/>
            <w:vAlign w:val="center"/>
          </w:tcPr>
          <w:p w14:paraId="2FB254C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是否遵守相关法律法规和业务管理规定；(1分）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项目调整及支出调整手续是否完备；（1分）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项目合同书、验收报告、技术鉴定等资料是否齐全并及时归档；（2分）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项目实施的人员条件、场地设备、信息支撑等是否落实到位。（2分）</w:t>
            </w:r>
          </w:p>
        </w:tc>
        <w:tc>
          <w:tcPr>
            <w:tcW w:w="877" w:type="dxa"/>
            <w:noWrap w:val="0"/>
            <w:vAlign w:val="center"/>
          </w:tcPr>
          <w:p w14:paraId="71947C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6</w:t>
            </w:r>
            <w:r>
              <w:rPr>
                <w:rFonts w:ascii="宋体" w:hAnsi="宋体"/>
                <w:kern w:val="0"/>
                <w:sz w:val="24"/>
              </w:rPr>
              <w:t>　</w:t>
            </w:r>
          </w:p>
        </w:tc>
        <w:tc>
          <w:tcPr>
            <w:tcW w:w="846" w:type="dxa"/>
            <w:noWrap w:val="0"/>
            <w:vAlign w:val="center"/>
          </w:tcPr>
          <w:p w14:paraId="303FE79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CFD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16" w:type="dxa"/>
            <w:vMerge w:val="continue"/>
            <w:shd w:val="clear" w:color="auto" w:fill="auto"/>
            <w:noWrap w:val="0"/>
            <w:vAlign w:val="center"/>
          </w:tcPr>
          <w:p w14:paraId="038C07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30EDCAA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9290E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项目质量可控性（3分）</w:t>
            </w:r>
          </w:p>
        </w:tc>
        <w:tc>
          <w:tcPr>
            <w:tcW w:w="1648" w:type="dxa"/>
            <w:shd w:val="clear" w:color="000000" w:fill="FFFFFF"/>
            <w:noWrap w:val="0"/>
            <w:vAlign w:val="center"/>
          </w:tcPr>
          <w:p w14:paraId="60F5916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项目实施单位是否为达到项目质量要求而采取了必需的措施,用以反映和考核项目实施单位对项目质量的控制情况。</w:t>
            </w:r>
          </w:p>
        </w:tc>
        <w:tc>
          <w:tcPr>
            <w:tcW w:w="3489" w:type="dxa"/>
            <w:shd w:val="clear" w:color="000000" w:fill="FFFFFF"/>
            <w:noWrap w:val="0"/>
            <w:vAlign w:val="center"/>
          </w:tcPr>
          <w:p w14:paraId="0DC5C5F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是否已制定或具有相应的项目质量要求或标准；（1分）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是否采取了相应的项目质量检查、验收等必需的控制措施或手段。（2分）</w:t>
            </w:r>
          </w:p>
        </w:tc>
        <w:tc>
          <w:tcPr>
            <w:tcW w:w="877" w:type="dxa"/>
            <w:noWrap w:val="0"/>
            <w:vAlign w:val="center"/>
          </w:tcPr>
          <w:p w14:paraId="3134C8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3</w:t>
            </w:r>
          </w:p>
        </w:tc>
        <w:tc>
          <w:tcPr>
            <w:tcW w:w="846" w:type="dxa"/>
            <w:noWrap w:val="0"/>
            <w:vAlign w:val="center"/>
          </w:tcPr>
          <w:p w14:paraId="769F7F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26F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16" w:type="dxa"/>
            <w:vMerge w:val="continue"/>
            <w:shd w:val="clear" w:color="auto" w:fill="auto"/>
            <w:noWrap w:val="0"/>
            <w:vAlign w:val="center"/>
          </w:tcPr>
          <w:p w14:paraId="07ECFFB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restart"/>
            <w:shd w:val="clear" w:color="000000" w:fill="FFFFFF"/>
            <w:noWrap w:val="0"/>
            <w:vAlign w:val="center"/>
          </w:tcPr>
          <w:p w14:paraId="6080F5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财务</w:t>
            </w:r>
            <w:r>
              <w:rPr>
                <w:rFonts w:ascii="宋体" w:hAnsi="宋体"/>
                <w:kern w:val="0"/>
                <w:sz w:val="20"/>
                <w:szCs w:val="20"/>
              </w:rPr>
              <w:br w:type="textWrapping"/>
            </w:r>
            <w:r>
              <w:rPr>
                <w:rFonts w:ascii="宋体" w:hAnsi="宋体"/>
                <w:kern w:val="0"/>
                <w:sz w:val="20"/>
                <w:szCs w:val="20"/>
              </w:rPr>
              <w:t>管理（12分）</w:t>
            </w:r>
          </w:p>
        </w:tc>
        <w:tc>
          <w:tcPr>
            <w:tcW w:w="798" w:type="dxa"/>
            <w:shd w:val="clear" w:color="000000" w:fill="FFFFFF"/>
            <w:noWrap w:val="0"/>
            <w:vAlign w:val="center"/>
          </w:tcPr>
          <w:p w14:paraId="1706612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管理制度健全性（3分）</w:t>
            </w:r>
          </w:p>
        </w:tc>
        <w:tc>
          <w:tcPr>
            <w:tcW w:w="1648" w:type="dxa"/>
            <w:shd w:val="clear" w:color="000000" w:fill="FFFFFF"/>
            <w:noWrap w:val="0"/>
            <w:vAlign w:val="center"/>
          </w:tcPr>
          <w:p w14:paraId="3301EEA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项目实施单位的财务制度是否健全，用以反映和考核财务管理制度对资金规范、安全运行的保障情况。</w:t>
            </w:r>
          </w:p>
        </w:tc>
        <w:tc>
          <w:tcPr>
            <w:tcW w:w="3489" w:type="dxa"/>
            <w:shd w:val="clear" w:color="000000" w:fill="FFFFFF"/>
            <w:noWrap w:val="0"/>
            <w:vAlign w:val="center"/>
          </w:tcPr>
          <w:p w14:paraId="3520DDB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是否已制定或具有相应的项目资金管理办法；（2分）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项目资金管理办法是否符合相关财务会计制度的规定。（1分）</w:t>
            </w:r>
          </w:p>
        </w:tc>
        <w:tc>
          <w:tcPr>
            <w:tcW w:w="877" w:type="dxa"/>
            <w:noWrap w:val="0"/>
            <w:vAlign w:val="center"/>
          </w:tcPr>
          <w:p w14:paraId="7A98C7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3</w:t>
            </w:r>
          </w:p>
        </w:tc>
        <w:tc>
          <w:tcPr>
            <w:tcW w:w="846" w:type="dxa"/>
            <w:noWrap w:val="0"/>
            <w:vAlign w:val="center"/>
          </w:tcPr>
          <w:p w14:paraId="6DAC186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CA4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6" w:type="dxa"/>
            <w:vMerge w:val="continue"/>
            <w:shd w:val="clear" w:color="auto" w:fill="auto"/>
            <w:noWrap w:val="0"/>
            <w:vAlign w:val="center"/>
          </w:tcPr>
          <w:p w14:paraId="269125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719C74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61D083A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资金使用合规性（7分）</w:t>
            </w:r>
          </w:p>
        </w:tc>
        <w:tc>
          <w:tcPr>
            <w:tcW w:w="1648" w:type="dxa"/>
            <w:shd w:val="clear" w:color="000000" w:fill="FFFFFF"/>
            <w:noWrap w:val="0"/>
            <w:vAlign w:val="center"/>
          </w:tcPr>
          <w:p w14:paraId="4C46345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项目资金使用是否符合相关的财务管理制度规定，用以反映和考核项目资金的规范运行情况。</w:t>
            </w:r>
          </w:p>
        </w:tc>
        <w:tc>
          <w:tcPr>
            <w:tcW w:w="3489" w:type="dxa"/>
            <w:shd w:val="clear" w:color="000000" w:fill="FFFFFF"/>
            <w:noWrap w:val="0"/>
            <w:vAlign w:val="center"/>
          </w:tcPr>
          <w:p w14:paraId="2468AC4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是否符合国家财经法规和财务管理制度以及有关专项资金管理办法的规定；（1分）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资金的拨付是否有完整的审批程序和手续；（2分）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项目的重大开支是否经过评估认证；（1分）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是否符合项目预算批复或合同规定的用途；（1分）</w:t>
            </w:r>
            <w:r>
              <w:rPr>
                <w:rFonts w:ascii="宋体" w:hAnsi="宋体"/>
                <w:kern w:val="0"/>
                <w:sz w:val="20"/>
                <w:szCs w:val="20"/>
              </w:rPr>
              <w:br w:type="textWrapping"/>
            </w:r>
            <w:r>
              <w:rPr>
                <w:rFonts w:hint="eastAsia" w:ascii="宋体" w:hAnsi="宋体" w:cs="宋体"/>
                <w:kern w:val="0"/>
                <w:sz w:val="20"/>
                <w:szCs w:val="20"/>
              </w:rPr>
              <w:t>⑤</w:t>
            </w:r>
            <w:r>
              <w:rPr>
                <w:rFonts w:ascii="宋体" w:hAnsi="宋体"/>
                <w:kern w:val="0"/>
                <w:sz w:val="20"/>
                <w:szCs w:val="20"/>
              </w:rPr>
              <w:t>是否存在截留、挤占、挪用、虚列支出等情况。（2分）</w:t>
            </w:r>
          </w:p>
        </w:tc>
        <w:tc>
          <w:tcPr>
            <w:tcW w:w="877" w:type="dxa"/>
            <w:noWrap w:val="0"/>
            <w:vAlign w:val="center"/>
          </w:tcPr>
          <w:p w14:paraId="56E6CB8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7</w:t>
            </w:r>
            <w:r>
              <w:rPr>
                <w:rFonts w:ascii="宋体" w:hAnsi="宋体"/>
                <w:kern w:val="0"/>
                <w:sz w:val="24"/>
              </w:rPr>
              <w:t>　</w:t>
            </w:r>
          </w:p>
        </w:tc>
        <w:tc>
          <w:tcPr>
            <w:tcW w:w="846" w:type="dxa"/>
            <w:noWrap w:val="0"/>
            <w:vAlign w:val="center"/>
          </w:tcPr>
          <w:p w14:paraId="0F3834E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F57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16" w:type="dxa"/>
            <w:vMerge w:val="continue"/>
            <w:shd w:val="clear" w:color="auto" w:fill="auto"/>
            <w:noWrap w:val="0"/>
            <w:vAlign w:val="center"/>
          </w:tcPr>
          <w:p w14:paraId="019F56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1C3585A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75F18CE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财务监控有效性（2分）</w:t>
            </w:r>
          </w:p>
        </w:tc>
        <w:tc>
          <w:tcPr>
            <w:tcW w:w="1648" w:type="dxa"/>
            <w:shd w:val="clear" w:color="000000" w:fill="FFFFFF"/>
            <w:noWrap w:val="0"/>
            <w:vAlign w:val="center"/>
          </w:tcPr>
          <w:p w14:paraId="03CAFB7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项目实施单位是否为保障资金的安全、规范运行而采取了必要的监控措施，用以反映和考核项目实施单位对资金运行的控制情况。</w:t>
            </w:r>
          </w:p>
        </w:tc>
        <w:tc>
          <w:tcPr>
            <w:tcW w:w="3489" w:type="dxa"/>
            <w:shd w:val="clear" w:color="000000" w:fill="FFFFFF"/>
            <w:noWrap w:val="0"/>
            <w:vAlign w:val="center"/>
          </w:tcPr>
          <w:p w14:paraId="20A3644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是否已制定或具有相应的监控机制；（1分）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是否采取了相应的财务检查等必要的监控措施或手段。（1分）</w:t>
            </w:r>
          </w:p>
        </w:tc>
        <w:tc>
          <w:tcPr>
            <w:tcW w:w="877" w:type="dxa"/>
            <w:noWrap w:val="0"/>
            <w:vAlign w:val="center"/>
          </w:tcPr>
          <w:p w14:paraId="7E88D17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2</w:t>
            </w:r>
          </w:p>
        </w:tc>
        <w:tc>
          <w:tcPr>
            <w:tcW w:w="846" w:type="dxa"/>
            <w:noWrap w:val="0"/>
            <w:vAlign w:val="center"/>
          </w:tcPr>
          <w:p w14:paraId="034A58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2CB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6" w:type="dxa"/>
            <w:vMerge w:val="restart"/>
            <w:shd w:val="clear" w:color="000000" w:fill="FFFFFF"/>
            <w:noWrap w:val="0"/>
            <w:textDirection w:val="tbRlV"/>
            <w:vAlign w:val="center"/>
          </w:tcPr>
          <w:p w14:paraId="26843C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产   出（20分）</w:t>
            </w:r>
          </w:p>
        </w:tc>
        <w:tc>
          <w:tcPr>
            <w:tcW w:w="648" w:type="dxa"/>
            <w:vMerge w:val="restart"/>
            <w:shd w:val="clear" w:color="000000" w:fill="FFFFFF"/>
            <w:noWrap w:val="0"/>
            <w:vAlign w:val="center"/>
          </w:tcPr>
          <w:p w14:paraId="4C5F16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产出（20分）</w:t>
            </w:r>
          </w:p>
        </w:tc>
        <w:tc>
          <w:tcPr>
            <w:tcW w:w="798" w:type="dxa"/>
            <w:shd w:val="clear" w:color="000000" w:fill="FFFFFF"/>
            <w:noWrap w:val="0"/>
            <w:vAlign w:val="center"/>
          </w:tcPr>
          <w:p w14:paraId="4EA1D8F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实际完成率（4分）</w:t>
            </w:r>
          </w:p>
        </w:tc>
        <w:tc>
          <w:tcPr>
            <w:tcW w:w="1648" w:type="dxa"/>
            <w:shd w:val="clear" w:color="000000" w:fill="FFFFFF"/>
            <w:noWrap w:val="0"/>
            <w:vAlign w:val="center"/>
          </w:tcPr>
          <w:p w14:paraId="61CDA03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项目实施的实际产出数与计划产出数的比率，用以反映和考核项目产出数量目标的实现程度。</w:t>
            </w:r>
          </w:p>
        </w:tc>
        <w:tc>
          <w:tcPr>
            <w:tcW w:w="3489" w:type="dxa"/>
            <w:shd w:val="clear" w:color="000000" w:fill="FFFFFF"/>
            <w:noWrap w:val="0"/>
            <w:vAlign w:val="center"/>
          </w:tcPr>
          <w:p w14:paraId="530F2A6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spacing w:val="-14"/>
                <w:kern w:val="0"/>
                <w:sz w:val="20"/>
                <w:szCs w:val="20"/>
              </w:rPr>
              <w:t>实际完成率=（实际产出数/计划产出数）×100%。（得分=实际完成率*4分）</w:t>
            </w:r>
            <w:r>
              <w:rPr>
                <w:rFonts w:ascii="宋体" w:hAnsi="宋体"/>
                <w:spacing w:val="-14"/>
                <w:kern w:val="0"/>
                <w:sz w:val="20"/>
                <w:szCs w:val="20"/>
              </w:rPr>
              <w:br w:type="textWrapping"/>
            </w:r>
            <w:r>
              <w:rPr>
                <w:rFonts w:ascii="宋体" w:hAnsi="宋体"/>
                <w:spacing w:val="-14"/>
                <w:kern w:val="0"/>
                <w:sz w:val="20"/>
                <w:szCs w:val="20"/>
              </w:rPr>
              <w:t>实际产出数：一定时期（本年度或项目期）内项目实际产出的产品或提供的服务数量。</w:t>
            </w:r>
            <w:r>
              <w:rPr>
                <w:rFonts w:ascii="宋体" w:hAnsi="宋体"/>
                <w:kern w:val="0"/>
                <w:sz w:val="20"/>
                <w:szCs w:val="20"/>
              </w:rPr>
              <w:br w:type="textWrapping"/>
            </w:r>
            <w:r>
              <w:rPr>
                <w:rFonts w:ascii="宋体" w:hAnsi="宋体"/>
                <w:kern w:val="0"/>
                <w:sz w:val="20"/>
                <w:szCs w:val="20"/>
              </w:rPr>
              <w:t>计划产出数：项目绩效目标确定的在一定时期（本年度或项目期）内计划产出的产品或提供的服务数量。</w:t>
            </w:r>
          </w:p>
        </w:tc>
        <w:tc>
          <w:tcPr>
            <w:tcW w:w="877" w:type="dxa"/>
            <w:noWrap w:val="0"/>
            <w:vAlign w:val="center"/>
          </w:tcPr>
          <w:p w14:paraId="17E8050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4</w:t>
            </w:r>
          </w:p>
        </w:tc>
        <w:tc>
          <w:tcPr>
            <w:tcW w:w="846" w:type="dxa"/>
            <w:noWrap w:val="0"/>
            <w:vAlign w:val="center"/>
          </w:tcPr>
          <w:p w14:paraId="45D1B62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1D8C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6" w:type="dxa"/>
            <w:vMerge w:val="continue"/>
            <w:shd w:val="clear" w:color="auto" w:fill="auto"/>
            <w:noWrap w:val="0"/>
            <w:vAlign w:val="center"/>
          </w:tcPr>
          <w:p w14:paraId="051DF81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2B4293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4089F2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完成及时率（6分）</w:t>
            </w:r>
          </w:p>
        </w:tc>
        <w:tc>
          <w:tcPr>
            <w:tcW w:w="1648" w:type="dxa"/>
            <w:shd w:val="clear" w:color="000000" w:fill="FFFFFF"/>
            <w:noWrap w:val="0"/>
            <w:vAlign w:val="center"/>
          </w:tcPr>
          <w:p w14:paraId="579B230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项目实际提前完成时间与计划完成时间的比率，用以反映和考核项目产出时效目标的实现程度。</w:t>
            </w:r>
          </w:p>
        </w:tc>
        <w:tc>
          <w:tcPr>
            <w:tcW w:w="3489" w:type="dxa"/>
            <w:shd w:val="clear" w:color="000000" w:fill="FFFFFF"/>
            <w:noWrap w:val="0"/>
            <w:vAlign w:val="center"/>
          </w:tcPr>
          <w:p w14:paraId="47173CF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完成及时率=[（计划完成时间-实际完成时间）/计划完成时间]×100%。（1--4季度各得1.5分）</w:t>
            </w:r>
            <w:r>
              <w:rPr>
                <w:rFonts w:ascii="宋体" w:hAnsi="宋体"/>
                <w:kern w:val="0"/>
                <w:sz w:val="20"/>
                <w:szCs w:val="20"/>
              </w:rPr>
              <w:br w:type="textWrapping"/>
            </w:r>
            <w:r>
              <w:rPr>
                <w:rFonts w:ascii="宋体" w:hAnsi="宋体"/>
                <w:kern w:val="0"/>
                <w:sz w:val="20"/>
                <w:szCs w:val="20"/>
              </w:rPr>
              <w:t>实际完成时间：项目实施单位完成该项目实际所耗用的时间。</w:t>
            </w:r>
            <w:r>
              <w:rPr>
                <w:rFonts w:ascii="宋体" w:hAnsi="宋体"/>
                <w:kern w:val="0"/>
                <w:sz w:val="20"/>
                <w:szCs w:val="20"/>
              </w:rPr>
              <w:br w:type="textWrapping"/>
            </w:r>
            <w:r>
              <w:rPr>
                <w:rFonts w:ascii="宋体" w:hAnsi="宋体"/>
                <w:kern w:val="0"/>
                <w:sz w:val="20"/>
                <w:szCs w:val="20"/>
              </w:rPr>
              <w:t>计划完成时间：按照项目实施计划或相关规定完成该项目所需的时间。</w:t>
            </w:r>
          </w:p>
        </w:tc>
        <w:tc>
          <w:tcPr>
            <w:tcW w:w="877" w:type="dxa"/>
            <w:noWrap w:val="0"/>
            <w:vAlign w:val="center"/>
          </w:tcPr>
          <w:p w14:paraId="58E802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6</w:t>
            </w:r>
          </w:p>
        </w:tc>
        <w:tc>
          <w:tcPr>
            <w:tcW w:w="846" w:type="dxa"/>
            <w:noWrap w:val="0"/>
            <w:vAlign w:val="center"/>
          </w:tcPr>
          <w:p w14:paraId="1604043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42C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16" w:type="dxa"/>
            <w:vMerge w:val="continue"/>
            <w:shd w:val="clear" w:color="auto" w:fill="auto"/>
            <w:noWrap w:val="0"/>
            <w:vAlign w:val="center"/>
          </w:tcPr>
          <w:p w14:paraId="2232DE8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1AD5BBB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22DD806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质量达标率（5分）</w:t>
            </w:r>
          </w:p>
        </w:tc>
        <w:tc>
          <w:tcPr>
            <w:tcW w:w="1648" w:type="dxa"/>
            <w:shd w:val="clear" w:color="000000" w:fill="FFFFFF"/>
            <w:noWrap w:val="0"/>
            <w:vAlign w:val="center"/>
          </w:tcPr>
          <w:p w14:paraId="2147B02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项目完成的质量达标产出数与实际产出数的比率，用以反映和考核项目产出质量目标的实现程度。</w:t>
            </w:r>
          </w:p>
        </w:tc>
        <w:tc>
          <w:tcPr>
            <w:tcW w:w="3489" w:type="dxa"/>
            <w:shd w:val="clear" w:color="000000" w:fill="FFFFFF"/>
            <w:noWrap w:val="0"/>
            <w:vAlign w:val="center"/>
          </w:tcPr>
          <w:p w14:paraId="4DF4236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质量达标率=（质量达标产出数/实际产出数）×100%。（得分=达标率*5分）</w:t>
            </w:r>
            <w:r>
              <w:rPr>
                <w:rFonts w:ascii="宋体" w:hAnsi="宋体"/>
                <w:kern w:val="0"/>
                <w:sz w:val="20"/>
                <w:szCs w:val="20"/>
              </w:rPr>
              <w:br w:type="textWrapping"/>
            </w:r>
            <w:r>
              <w:rPr>
                <w:rFonts w:ascii="宋体" w:hAnsi="宋体"/>
                <w:kern w:val="0"/>
                <w:sz w:val="20"/>
                <w:szCs w:val="20"/>
              </w:rPr>
              <w:t>质量达标产出数：一定时期（本年度或项目期）内实际达到既定质量标准的产品或服务数量。</w:t>
            </w:r>
            <w:r>
              <w:rPr>
                <w:rFonts w:ascii="宋体" w:hAnsi="宋体"/>
                <w:kern w:val="0"/>
                <w:sz w:val="20"/>
                <w:szCs w:val="20"/>
              </w:rPr>
              <w:br w:type="textWrapping"/>
            </w:r>
            <w:r>
              <w:rPr>
                <w:rFonts w:ascii="宋体" w:hAnsi="宋体"/>
                <w:spacing w:val="-10"/>
                <w:kern w:val="0"/>
                <w:sz w:val="20"/>
                <w:szCs w:val="20"/>
              </w:rPr>
              <w:t>既定质量标准是指项目实施单位设立绩效目标时依据计划标准、行业标准、历史标准或其他标准而设定的绩效指标值。</w:t>
            </w:r>
          </w:p>
        </w:tc>
        <w:tc>
          <w:tcPr>
            <w:tcW w:w="877" w:type="dxa"/>
            <w:noWrap w:val="0"/>
            <w:vAlign w:val="center"/>
          </w:tcPr>
          <w:p w14:paraId="40E9FA6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46FCFE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5A88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6" w:type="dxa"/>
            <w:vMerge w:val="continue"/>
            <w:shd w:val="clear" w:color="auto" w:fill="auto"/>
            <w:noWrap w:val="0"/>
            <w:vAlign w:val="center"/>
          </w:tcPr>
          <w:p w14:paraId="088AC58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3DFE01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36A46FC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成本节约率（5分）</w:t>
            </w:r>
          </w:p>
        </w:tc>
        <w:tc>
          <w:tcPr>
            <w:tcW w:w="1648" w:type="dxa"/>
            <w:shd w:val="clear" w:color="000000" w:fill="FFFFFF"/>
            <w:noWrap w:val="0"/>
            <w:vAlign w:val="center"/>
          </w:tcPr>
          <w:p w14:paraId="7B9686F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完成项目计划工作目标的实际节约成本与计划成本的比率，用以反映和考核项目的成本节约程度。</w:t>
            </w:r>
          </w:p>
        </w:tc>
        <w:tc>
          <w:tcPr>
            <w:tcW w:w="3489" w:type="dxa"/>
            <w:shd w:val="clear" w:color="000000" w:fill="FFFFFF"/>
            <w:noWrap w:val="0"/>
            <w:vAlign w:val="center"/>
          </w:tcPr>
          <w:p w14:paraId="6A3B264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成本节约率=[（计划成本-实际成本）/计划成本]×100%。(节约的计5分,增加的按比例扣分)</w:t>
            </w:r>
            <w:r>
              <w:rPr>
                <w:rFonts w:ascii="宋体" w:hAnsi="宋体"/>
                <w:kern w:val="0"/>
                <w:sz w:val="20"/>
                <w:szCs w:val="20"/>
              </w:rPr>
              <w:br w:type="textWrapping"/>
            </w:r>
            <w:r>
              <w:rPr>
                <w:rFonts w:ascii="宋体" w:hAnsi="宋体"/>
                <w:spacing w:val="-10"/>
                <w:kern w:val="0"/>
                <w:sz w:val="20"/>
                <w:szCs w:val="20"/>
              </w:rPr>
              <w:t>实际成本：项目实施单位如期、保质、保量完成既定工作目标实际所耗费的支出。</w:t>
            </w:r>
            <w:r>
              <w:rPr>
                <w:rFonts w:ascii="宋体" w:hAnsi="宋体"/>
                <w:spacing w:val="-10"/>
                <w:kern w:val="0"/>
                <w:sz w:val="20"/>
                <w:szCs w:val="20"/>
              </w:rPr>
              <w:br w:type="textWrapping"/>
            </w:r>
            <w:r>
              <w:rPr>
                <w:rFonts w:ascii="宋体" w:hAnsi="宋体"/>
                <w:spacing w:val="-10"/>
                <w:kern w:val="0"/>
                <w:sz w:val="20"/>
                <w:szCs w:val="20"/>
              </w:rPr>
              <w:t>计划成本：项目实施单位为完成工作目标计划安排的支出，一般以项目预算为参考。</w:t>
            </w:r>
          </w:p>
        </w:tc>
        <w:tc>
          <w:tcPr>
            <w:tcW w:w="877" w:type="dxa"/>
            <w:noWrap w:val="0"/>
            <w:vAlign w:val="center"/>
          </w:tcPr>
          <w:p w14:paraId="78E673E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2ED78B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FBE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6" w:type="dxa"/>
            <w:vMerge w:val="restart"/>
            <w:shd w:val="clear" w:color="000000" w:fill="FFFFFF"/>
            <w:noWrap w:val="0"/>
            <w:textDirection w:val="tbRlV"/>
            <w:vAlign w:val="center"/>
          </w:tcPr>
          <w:p w14:paraId="712692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效   果（30分）</w:t>
            </w:r>
          </w:p>
        </w:tc>
        <w:tc>
          <w:tcPr>
            <w:tcW w:w="648" w:type="dxa"/>
            <w:vMerge w:val="restart"/>
            <w:shd w:val="clear" w:color="000000" w:fill="FFFFFF"/>
            <w:noWrap w:val="0"/>
            <w:vAlign w:val="center"/>
          </w:tcPr>
          <w:p w14:paraId="675AC5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效益（30分）</w:t>
            </w:r>
          </w:p>
        </w:tc>
        <w:tc>
          <w:tcPr>
            <w:tcW w:w="798" w:type="dxa"/>
            <w:shd w:val="clear" w:color="000000" w:fill="FFFFFF"/>
            <w:noWrap w:val="0"/>
            <w:vAlign w:val="center"/>
          </w:tcPr>
          <w:p w14:paraId="6BB586F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经济效益(5分）</w:t>
            </w:r>
          </w:p>
        </w:tc>
        <w:tc>
          <w:tcPr>
            <w:tcW w:w="1648" w:type="dxa"/>
            <w:shd w:val="clear" w:color="000000" w:fill="FFFFFF"/>
            <w:noWrap w:val="0"/>
            <w:vAlign w:val="center"/>
          </w:tcPr>
          <w:p w14:paraId="4CE4605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项目实施对经济发展所带来的直接或间接影响情况。</w:t>
            </w:r>
          </w:p>
        </w:tc>
        <w:tc>
          <w:tcPr>
            <w:tcW w:w="3489" w:type="dxa"/>
            <w:vMerge w:val="restart"/>
            <w:shd w:val="clear" w:color="000000" w:fill="FFFFFF"/>
            <w:noWrap w:val="0"/>
            <w:vAlign w:val="center"/>
          </w:tcPr>
          <w:p w14:paraId="1B45128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877" w:type="dxa"/>
            <w:noWrap w:val="0"/>
            <w:vAlign w:val="center"/>
          </w:tcPr>
          <w:p w14:paraId="0A732B3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3FB592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1E26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vMerge w:val="continue"/>
            <w:shd w:val="clear" w:color="auto" w:fill="auto"/>
            <w:noWrap w:val="0"/>
            <w:vAlign w:val="center"/>
          </w:tcPr>
          <w:p w14:paraId="59733C2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3026459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17ABCD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社会效益（5分）</w:t>
            </w:r>
          </w:p>
        </w:tc>
        <w:tc>
          <w:tcPr>
            <w:tcW w:w="1648" w:type="dxa"/>
            <w:shd w:val="clear" w:color="000000" w:fill="FFFFFF"/>
            <w:noWrap w:val="0"/>
            <w:vAlign w:val="center"/>
          </w:tcPr>
          <w:p w14:paraId="451C394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项目实施对社会发展所带来的直接或间接影响情况。</w:t>
            </w:r>
          </w:p>
        </w:tc>
        <w:tc>
          <w:tcPr>
            <w:tcW w:w="3489" w:type="dxa"/>
            <w:vMerge w:val="continue"/>
            <w:noWrap w:val="0"/>
            <w:vAlign w:val="center"/>
          </w:tcPr>
          <w:p w14:paraId="5E202BA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0547C8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3A8533D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5766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vMerge w:val="continue"/>
            <w:shd w:val="clear" w:color="auto" w:fill="auto"/>
            <w:noWrap w:val="0"/>
            <w:vAlign w:val="center"/>
          </w:tcPr>
          <w:p w14:paraId="787B39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768C48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3A5D12F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生态效益（5分）</w:t>
            </w:r>
          </w:p>
        </w:tc>
        <w:tc>
          <w:tcPr>
            <w:tcW w:w="1648" w:type="dxa"/>
            <w:shd w:val="clear" w:color="000000" w:fill="FFFFFF"/>
            <w:noWrap w:val="0"/>
            <w:vAlign w:val="center"/>
          </w:tcPr>
          <w:p w14:paraId="7D2B225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项目实施对生态环境所带来的直接或间接影响情况。</w:t>
            </w:r>
          </w:p>
        </w:tc>
        <w:tc>
          <w:tcPr>
            <w:tcW w:w="3489" w:type="dxa"/>
            <w:vMerge w:val="continue"/>
            <w:noWrap w:val="0"/>
            <w:vAlign w:val="center"/>
          </w:tcPr>
          <w:p w14:paraId="2D33306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3D9DE4F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0A66FC8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813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vMerge w:val="continue"/>
            <w:shd w:val="clear" w:color="auto" w:fill="auto"/>
            <w:noWrap w:val="0"/>
            <w:vAlign w:val="center"/>
          </w:tcPr>
          <w:p w14:paraId="520FEA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4418B5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03E5DB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可持续影响</w:t>
            </w:r>
          </w:p>
        </w:tc>
        <w:tc>
          <w:tcPr>
            <w:tcW w:w="1648" w:type="dxa"/>
            <w:shd w:val="clear" w:color="000000" w:fill="FFFFFF"/>
            <w:noWrap w:val="0"/>
            <w:vAlign w:val="center"/>
          </w:tcPr>
          <w:p w14:paraId="770FEEF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项目后续运行及成效发挥的可持续影响情况。</w:t>
            </w:r>
          </w:p>
        </w:tc>
        <w:tc>
          <w:tcPr>
            <w:tcW w:w="3489" w:type="dxa"/>
            <w:vMerge w:val="continue"/>
            <w:noWrap w:val="0"/>
            <w:vAlign w:val="center"/>
          </w:tcPr>
          <w:p w14:paraId="60F07E1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54D27B9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59A8DB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02D0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16" w:type="dxa"/>
            <w:vMerge w:val="continue"/>
            <w:shd w:val="clear" w:color="auto" w:fill="auto"/>
            <w:noWrap w:val="0"/>
            <w:vAlign w:val="center"/>
          </w:tcPr>
          <w:p w14:paraId="358930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73CAEF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37BFFF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spacing w:val="-10"/>
                <w:kern w:val="0"/>
                <w:sz w:val="20"/>
                <w:szCs w:val="20"/>
              </w:rPr>
            </w:pPr>
            <w:r>
              <w:rPr>
                <w:rFonts w:ascii="宋体" w:hAnsi="宋体"/>
                <w:spacing w:val="-10"/>
                <w:kern w:val="0"/>
                <w:sz w:val="20"/>
                <w:szCs w:val="20"/>
              </w:rPr>
              <w:t>社会公众或服务对象满意度（10分）</w:t>
            </w:r>
          </w:p>
        </w:tc>
        <w:tc>
          <w:tcPr>
            <w:tcW w:w="1648" w:type="dxa"/>
            <w:shd w:val="clear" w:color="000000" w:fill="FFFFFF"/>
            <w:noWrap w:val="0"/>
            <w:vAlign w:val="center"/>
          </w:tcPr>
          <w:p w14:paraId="2EBF851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社会公众或服务对象对项目实施效果的满意程度。</w:t>
            </w:r>
          </w:p>
        </w:tc>
        <w:tc>
          <w:tcPr>
            <w:tcW w:w="3489" w:type="dxa"/>
            <w:shd w:val="clear" w:color="000000" w:fill="FFFFFF"/>
            <w:noWrap w:val="0"/>
            <w:vAlign w:val="center"/>
          </w:tcPr>
          <w:p w14:paraId="6A95641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社会公众或服务对象是指因该项目实施而受到影响的部门（单位）、群体或个人。一般采取社会调查的方式。（按收到的服务对象的满意率计算得分）</w:t>
            </w:r>
          </w:p>
        </w:tc>
        <w:tc>
          <w:tcPr>
            <w:tcW w:w="877" w:type="dxa"/>
            <w:noWrap w:val="0"/>
            <w:vAlign w:val="center"/>
          </w:tcPr>
          <w:p w14:paraId="69B79A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10</w:t>
            </w:r>
          </w:p>
        </w:tc>
        <w:tc>
          <w:tcPr>
            <w:tcW w:w="846" w:type="dxa"/>
            <w:noWrap w:val="0"/>
            <w:vAlign w:val="center"/>
          </w:tcPr>
          <w:p w14:paraId="303F9A1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345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399" w:type="dxa"/>
            <w:gridSpan w:val="5"/>
            <w:shd w:val="clear" w:color="000000" w:fill="FFFFFF"/>
            <w:noWrap w:val="0"/>
            <w:vAlign w:val="center"/>
          </w:tcPr>
          <w:p w14:paraId="0F1C084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合计</w:t>
            </w:r>
          </w:p>
        </w:tc>
        <w:tc>
          <w:tcPr>
            <w:tcW w:w="877" w:type="dxa"/>
            <w:noWrap w:val="0"/>
            <w:vAlign w:val="center"/>
          </w:tcPr>
          <w:p w14:paraId="375BF31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100</w:t>
            </w:r>
          </w:p>
        </w:tc>
        <w:tc>
          <w:tcPr>
            <w:tcW w:w="846" w:type="dxa"/>
            <w:noWrap w:val="0"/>
            <w:vAlign w:val="center"/>
          </w:tcPr>
          <w:p w14:paraId="391530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bl>
    <w:p w14:paraId="3319C174">
      <w:pPr>
        <w:spacing w:line="600" w:lineRule="exact"/>
        <w:jc w:val="left"/>
        <w:rPr>
          <w:rFonts w:ascii="宋体" w:hAnsi="宋体" w:eastAsia="方正黑体简体"/>
          <w:sz w:val="32"/>
          <w:szCs w:val="32"/>
        </w:rPr>
      </w:pPr>
    </w:p>
    <w:p w14:paraId="4CFC149E">
      <w:pPr>
        <w:spacing w:line="600" w:lineRule="exact"/>
        <w:jc w:val="left"/>
        <w:rPr>
          <w:rFonts w:ascii="宋体" w:hAnsi="宋体" w:eastAsia="方正黑体简体"/>
          <w:sz w:val="32"/>
          <w:szCs w:val="32"/>
        </w:rPr>
      </w:pPr>
    </w:p>
    <w:p w14:paraId="7FD92433">
      <w:pPr>
        <w:spacing w:line="600" w:lineRule="exact"/>
        <w:jc w:val="left"/>
        <w:rPr>
          <w:rFonts w:ascii="宋体" w:hAnsi="宋体" w:eastAsia="方正黑体简体"/>
          <w:sz w:val="32"/>
          <w:szCs w:val="32"/>
        </w:rPr>
      </w:pPr>
    </w:p>
    <w:p w14:paraId="74F42668">
      <w:pPr>
        <w:spacing w:line="600" w:lineRule="exact"/>
        <w:jc w:val="left"/>
        <w:rPr>
          <w:rFonts w:ascii="宋体" w:hAnsi="宋体" w:eastAsia="方正黑体简体"/>
          <w:sz w:val="32"/>
          <w:szCs w:val="32"/>
        </w:rPr>
      </w:pPr>
    </w:p>
    <w:p w14:paraId="2FF459F5">
      <w:pPr>
        <w:spacing w:line="600" w:lineRule="exact"/>
        <w:jc w:val="left"/>
        <w:rPr>
          <w:rFonts w:ascii="宋体" w:hAnsi="宋体" w:eastAsia="方正黑体简体"/>
          <w:sz w:val="32"/>
          <w:szCs w:val="32"/>
        </w:rPr>
      </w:pPr>
    </w:p>
    <w:p w14:paraId="39C1FE83">
      <w:pPr>
        <w:spacing w:line="600" w:lineRule="exact"/>
        <w:jc w:val="left"/>
        <w:rPr>
          <w:rFonts w:hint="eastAsia" w:ascii="宋体" w:hAnsi="宋体" w:eastAsia="方正黑体简体"/>
          <w:sz w:val="32"/>
          <w:szCs w:val="32"/>
        </w:rPr>
      </w:pPr>
    </w:p>
    <w:p w14:paraId="0FB04F64">
      <w:pPr>
        <w:pStyle w:val="2"/>
        <w:rPr>
          <w:rFonts w:hint="eastAsia" w:ascii="宋体" w:hAnsi="宋体"/>
        </w:rPr>
      </w:pPr>
    </w:p>
    <w:p w14:paraId="75A1406E">
      <w:pPr>
        <w:rPr>
          <w:rFonts w:hint="eastAsia" w:ascii="宋体" w:hAnsi="宋体"/>
        </w:rPr>
      </w:pPr>
    </w:p>
    <w:p w14:paraId="79229A7D">
      <w:pPr>
        <w:pStyle w:val="2"/>
        <w:rPr>
          <w:rFonts w:hint="eastAsia" w:ascii="宋体" w:hAnsi="宋体"/>
        </w:rPr>
      </w:pPr>
    </w:p>
    <w:p w14:paraId="4B5577E5">
      <w:pPr>
        <w:rPr>
          <w:rFonts w:hint="eastAsia" w:ascii="宋体" w:hAnsi="宋体"/>
        </w:rPr>
      </w:pPr>
    </w:p>
    <w:p w14:paraId="2F64C6C4">
      <w:pPr>
        <w:pStyle w:val="2"/>
        <w:rPr>
          <w:rFonts w:hint="eastAsia" w:ascii="宋体" w:hAnsi="宋体"/>
        </w:rPr>
      </w:pPr>
    </w:p>
    <w:p w14:paraId="36174DAC">
      <w:pPr>
        <w:spacing w:line="600" w:lineRule="exact"/>
        <w:jc w:val="left"/>
        <w:rPr>
          <w:rFonts w:hint="eastAsia" w:ascii="宋体" w:hAnsi="宋体" w:eastAsia="方正黑体简体"/>
          <w:sz w:val="32"/>
          <w:szCs w:val="32"/>
        </w:rPr>
      </w:pPr>
      <w:r>
        <w:rPr>
          <w:rFonts w:ascii="宋体" w:hAnsi="宋体" w:eastAsia="方正黑体简体"/>
          <w:sz w:val="32"/>
          <w:szCs w:val="32"/>
        </w:rPr>
        <w:t>附</w:t>
      </w:r>
      <w:r>
        <w:rPr>
          <w:rFonts w:hint="eastAsia" w:ascii="宋体" w:hAnsi="宋体" w:eastAsia="方正黑体简体"/>
          <w:sz w:val="32"/>
          <w:szCs w:val="32"/>
          <w:lang w:eastAsia="zh-CN"/>
        </w:rPr>
        <w:t>表</w:t>
      </w:r>
      <w:r>
        <w:rPr>
          <w:rFonts w:hint="eastAsia" w:ascii="宋体" w:hAnsi="宋体" w:eastAsia="方正黑体简体"/>
          <w:sz w:val="32"/>
          <w:szCs w:val="32"/>
        </w:rPr>
        <w:t>2</w:t>
      </w:r>
    </w:p>
    <w:p w14:paraId="24D4B541">
      <w:pPr>
        <w:spacing w:line="600" w:lineRule="exact"/>
        <w:jc w:val="center"/>
        <w:rPr>
          <w:rFonts w:ascii="宋体" w:hAnsi="宋体" w:eastAsia="方正小标宋简体"/>
          <w:color w:val="000000"/>
          <w:spacing w:val="-12"/>
          <w:kern w:val="0"/>
          <w:sz w:val="40"/>
          <w:szCs w:val="40"/>
        </w:rPr>
      </w:pPr>
      <w:r>
        <w:rPr>
          <w:rFonts w:ascii="宋体" w:hAnsi="宋体" w:eastAsia="方正小标宋简体"/>
          <w:color w:val="000000"/>
          <w:spacing w:val="-12"/>
          <w:kern w:val="0"/>
          <w:sz w:val="40"/>
          <w:szCs w:val="40"/>
        </w:rPr>
        <w:t>20</w:t>
      </w:r>
      <w:r>
        <w:rPr>
          <w:rFonts w:hint="eastAsia" w:ascii="宋体" w:hAnsi="宋体" w:eastAsia="方正小标宋简体"/>
          <w:color w:val="000000"/>
          <w:spacing w:val="-12"/>
          <w:kern w:val="0"/>
          <w:sz w:val="40"/>
          <w:szCs w:val="40"/>
        </w:rPr>
        <w:t>23</w:t>
      </w:r>
      <w:r>
        <w:rPr>
          <w:rFonts w:ascii="宋体" w:hAnsi="宋体" w:eastAsia="方正小标宋简体"/>
          <w:color w:val="000000"/>
          <w:spacing w:val="-12"/>
          <w:kern w:val="0"/>
          <w:sz w:val="40"/>
          <w:szCs w:val="40"/>
        </w:rPr>
        <w:t>年度市本级项目支出绩效目标完成情况表</w:t>
      </w:r>
    </w:p>
    <w:p w14:paraId="1AB9A80D">
      <w:pPr>
        <w:pStyle w:val="2"/>
        <w:spacing w:line="600" w:lineRule="exact"/>
        <w:rPr>
          <w:rFonts w:ascii="宋体" w:hAnsi="宋体"/>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6"/>
        <w:gridCol w:w="353"/>
        <w:gridCol w:w="1136"/>
        <w:gridCol w:w="848"/>
        <w:gridCol w:w="1421"/>
        <w:gridCol w:w="1413"/>
        <w:gridCol w:w="144"/>
        <w:gridCol w:w="1908"/>
        <w:gridCol w:w="11"/>
      </w:tblGrid>
      <w:tr w14:paraId="3DB7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70" w:hRule="atLeast"/>
        </w:trPr>
        <w:tc>
          <w:tcPr>
            <w:tcW w:w="890" w:type="dxa"/>
            <w:noWrap w:val="0"/>
            <w:vAlign w:val="center"/>
          </w:tcPr>
          <w:p w14:paraId="4D922D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157E01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名称</w:t>
            </w:r>
          </w:p>
        </w:tc>
        <w:tc>
          <w:tcPr>
            <w:tcW w:w="8069" w:type="dxa"/>
            <w:gridSpan w:val="8"/>
            <w:noWrap w:val="0"/>
            <w:vAlign w:val="center"/>
          </w:tcPr>
          <w:p w14:paraId="4D7994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hint="eastAsia" w:ascii="宋体" w:hAnsi="宋体" w:eastAsia="楷体_GB2312"/>
                <w:b/>
                <w:bCs/>
                <w:kern w:val="0"/>
                <w:sz w:val="20"/>
                <w:szCs w:val="20"/>
              </w:rPr>
              <w:t>综治中心专网租赁费</w:t>
            </w:r>
          </w:p>
        </w:tc>
      </w:tr>
      <w:tr w14:paraId="4BFB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70" w:hRule="atLeast"/>
        </w:trPr>
        <w:tc>
          <w:tcPr>
            <w:tcW w:w="890" w:type="dxa"/>
            <w:vMerge w:val="restart"/>
            <w:noWrap w:val="0"/>
            <w:vAlign w:val="center"/>
          </w:tcPr>
          <w:p w14:paraId="59300D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6F241C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类型</w:t>
            </w:r>
          </w:p>
        </w:tc>
        <w:tc>
          <w:tcPr>
            <w:tcW w:w="1200" w:type="dxa"/>
            <w:gridSpan w:val="2"/>
            <w:noWrap w:val="0"/>
            <w:vAlign w:val="center"/>
          </w:tcPr>
          <w:p w14:paraId="35B850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产业发展</w:t>
            </w:r>
          </w:p>
        </w:tc>
        <w:tc>
          <w:tcPr>
            <w:tcW w:w="1137" w:type="dxa"/>
            <w:noWrap w:val="0"/>
            <w:vAlign w:val="center"/>
          </w:tcPr>
          <w:p w14:paraId="47B3B4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民生</w:t>
            </w:r>
          </w:p>
          <w:p w14:paraId="2CAB0A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保障</w:t>
            </w:r>
          </w:p>
        </w:tc>
        <w:tc>
          <w:tcPr>
            <w:tcW w:w="2271" w:type="dxa"/>
            <w:gridSpan w:val="2"/>
            <w:noWrap w:val="0"/>
            <w:vAlign w:val="center"/>
          </w:tcPr>
          <w:p w14:paraId="48FC6E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基础设施</w:t>
            </w:r>
          </w:p>
        </w:tc>
        <w:tc>
          <w:tcPr>
            <w:tcW w:w="3461" w:type="dxa"/>
            <w:gridSpan w:val="3"/>
            <w:noWrap w:val="0"/>
            <w:vAlign w:val="center"/>
          </w:tcPr>
          <w:p w14:paraId="2132D9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行政运行</w:t>
            </w:r>
          </w:p>
        </w:tc>
      </w:tr>
      <w:tr w14:paraId="7DB8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08" w:hRule="atLeast"/>
        </w:trPr>
        <w:tc>
          <w:tcPr>
            <w:tcW w:w="890" w:type="dxa"/>
            <w:vMerge w:val="continue"/>
            <w:noWrap w:val="0"/>
            <w:vAlign w:val="center"/>
          </w:tcPr>
          <w:p w14:paraId="5F371F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p>
        </w:tc>
        <w:tc>
          <w:tcPr>
            <w:tcW w:w="1200" w:type="dxa"/>
            <w:gridSpan w:val="2"/>
            <w:noWrap w:val="0"/>
            <w:vAlign w:val="center"/>
          </w:tcPr>
          <w:p w14:paraId="79CF5C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w:t>
            </w:r>
          </w:p>
        </w:tc>
        <w:tc>
          <w:tcPr>
            <w:tcW w:w="1137" w:type="dxa"/>
            <w:noWrap w:val="0"/>
            <w:vAlign w:val="center"/>
          </w:tcPr>
          <w:p w14:paraId="49341A52">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rPr>
            </w:pPr>
            <w:r>
              <w:rPr>
                <w:rFonts w:ascii="宋体" w:hAnsi="宋体"/>
                <w:color w:val="000000"/>
                <w:kern w:val="0"/>
                <w:sz w:val="18"/>
                <w:szCs w:val="18"/>
              </w:rPr>
              <w:t>□</w:t>
            </w:r>
          </w:p>
        </w:tc>
        <w:tc>
          <w:tcPr>
            <w:tcW w:w="2271" w:type="dxa"/>
            <w:gridSpan w:val="2"/>
            <w:noWrap w:val="0"/>
            <w:vAlign w:val="center"/>
          </w:tcPr>
          <w:p w14:paraId="7E7AE2CA">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rPr>
            </w:pPr>
            <w:r>
              <w:rPr>
                <w:rFonts w:ascii="宋体" w:hAnsi="宋体"/>
                <w:color w:val="000000"/>
                <w:kern w:val="0"/>
                <w:sz w:val="18"/>
                <w:szCs w:val="18"/>
              </w:rPr>
              <w:sym w:font="Wingdings 2" w:char="00A3"/>
            </w:r>
          </w:p>
        </w:tc>
        <w:tc>
          <w:tcPr>
            <w:tcW w:w="3461" w:type="dxa"/>
            <w:gridSpan w:val="3"/>
            <w:noWrap w:val="0"/>
            <w:vAlign w:val="center"/>
          </w:tcPr>
          <w:p w14:paraId="068F8776">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rPr>
            </w:pPr>
            <w:r>
              <w:rPr>
                <w:rFonts w:ascii="宋体" w:hAnsi="宋体"/>
                <w:color w:val="000000"/>
                <w:kern w:val="0"/>
                <w:sz w:val="18"/>
                <w:szCs w:val="18"/>
              </w:rPr>
              <w:sym w:font="Wingdings 2" w:char="0052"/>
            </w:r>
          </w:p>
        </w:tc>
      </w:tr>
      <w:tr w14:paraId="0F61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70" w:hRule="atLeast"/>
        </w:trPr>
        <w:tc>
          <w:tcPr>
            <w:tcW w:w="890" w:type="dxa"/>
            <w:noWrap w:val="0"/>
            <w:vAlign w:val="center"/>
          </w:tcPr>
          <w:p w14:paraId="545869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部门（单位）名称</w:t>
            </w:r>
          </w:p>
        </w:tc>
        <w:tc>
          <w:tcPr>
            <w:tcW w:w="4608" w:type="dxa"/>
            <w:gridSpan w:val="5"/>
            <w:noWrap w:val="0"/>
            <w:vAlign w:val="center"/>
          </w:tcPr>
          <w:p w14:paraId="1D30A2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hint="eastAsia" w:ascii="宋体" w:hAnsi="宋体"/>
                <w:color w:val="000000"/>
                <w:kern w:val="0"/>
                <w:sz w:val="18"/>
                <w:szCs w:val="18"/>
              </w:rPr>
              <w:t>中共资阳市委政法委员</w:t>
            </w:r>
            <w:r>
              <w:rPr>
                <w:rFonts w:ascii="宋体" w:hAnsi="宋体"/>
                <w:color w:val="000000"/>
                <w:kern w:val="0"/>
                <w:sz w:val="18"/>
                <w:szCs w:val="18"/>
              </w:rPr>
              <w:t>　</w:t>
            </w:r>
          </w:p>
        </w:tc>
        <w:tc>
          <w:tcPr>
            <w:tcW w:w="1558" w:type="dxa"/>
            <w:gridSpan w:val="2"/>
            <w:noWrap w:val="0"/>
            <w:vAlign w:val="center"/>
          </w:tcPr>
          <w:p w14:paraId="012E28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预算单位编码</w:t>
            </w:r>
          </w:p>
        </w:tc>
        <w:tc>
          <w:tcPr>
            <w:tcW w:w="1903" w:type="dxa"/>
            <w:noWrap w:val="0"/>
            <w:vAlign w:val="center"/>
          </w:tcPr>
          <w:p w14:paraId="4B93A0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106001</w:t>
            </w:r>
          </w:p>
        </w:tc>
      </w:tr>
      <w:tr w14:paraId="5380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507" w:hRule="atLeast"/>
        </w:trPr>
        <w:tc>
          <w:tcPr>
            <w:tcW w:w="890" w:type="dxa"/>
            <w:vMerge w:val="restart"/>
            <w:noWrap w:val="0"/>
            <w:vAlign w:val="center"/>
          </w:tcPr>
          <w:p w14:paraId="334A7B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预算执行情况</w:t>
            </w:r>
          </w:p>
        </w:tc>
        <w:tc>
          <w:tcPr>
            <w:tcW w:w="1200" w:type="dxa"/>
            <w:gridSpan w:val="2"/>
            <w:noWrap w:val="0"/>
            <w:vAlign w:val="center"/>
          </w:tcPr>
          <w:p w14:paraId="6BE315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tc>
        <w:tc>
          <w:tcPr>
            <w:tcW w:w="1137" w:type="dxa"/>
            <w:noWrap w:val="0"/>
            <w:vAlign w:val="center"/>
          </w:tcPr>
          <w:p w14:paraId="727322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预算额(百元)</w:t>
            </w:r>
          </w:p>
        </w:tc>
        <w:tc>
          <w:tcPr>
            <w:tcW w:w="849" w:type="dxa"/>
            <w:noWrap w:val="0"/>
            <w:vAlign w:val="center"/>
          </w:tcPr>
          <w:p w14:paraId="5CFF74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执行额(百元)</w:t>
            </w:r>
          </w:p>
        </w:tc>
        <w:tc>
          <w:tcPr>
            <w:tcW w:w="1422" w:type="dxa"/>
            <w:noWrap w:val="0"/>
            <w:vAlign w:val="center"/>
          </w:tcPr>
          <w:p w14:paraId="4BA768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当年结转结余额(百元)</w:t>
            </w:r>
          </w:p>
        </w:tc>
        <w:tc>
          <w:tcPr>
            <w:tcW w:w="1558" w:type="dxa"/>
            <w:gridSpan w:val="2"/>
            <w:noWrap w:val="0"/>
            <w:vAlign w:val="center"/>
          </w:tcPr>
          <w:p w14:paraId="44221A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结转结余率%</w:t>
            </w:r>
          </w:p>
        </w:tc>
        <w:tc>
          <w:tcPr>
            <w:tcW w:w="1903" w:type="dxa"/>
            <w:noWrap w:val="0"/>
            <w:vAlign w:val="center"/>
          </w:tcPr>
          <w:p w14:paraId="64A0DE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结转结余变动率%</w:t>
            </w:r>
          </w:p>
        </w:tc>
      </w:tr>
      <w:tr w14:paraId="17C3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70" w:hRule="atLeast"/>
        </w:trPr>
        <w:tc>
          <w:tcPr>
            <w:tcW w:w="890" w:type="dxa"/>
            <w:vMerge w:val="continue"/>
            <w:noWrap w:val="0"/>
            <w:vAlign w:val="center"/>
          </w:tcPr>
          <w:p w14:paraId="3FF1824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0EC9AD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合   计</w:t>
            </w:r>
          </w:p>
        </w:tc>
        <w:tc>
          <w:tcPr>
            <w:tcW w:w="1137" w:type="dxa"/>
            <w:noWrap w:val="0"/>
            <w:vAlign w:val="center"/>
          </w:tcPr>
          <w:p w14:paraId="5038C1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504</w:t>
            </w:r>
          </w:p>
        </w:tc>
        <w:tc>
          <w:tcPr>
            <w:tcW w:w="849" w:type="dxa"/>
            <w:noWrap w:val="0"/>
            <w:vAlign w:val="center"/>
          </w:tcPr>
          <w:p w14:paraId="4148DA8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504</w:t>
            </w:r>
          </w:p>
        </w:tc>
        <w:tc>
          <w:tcPr>
            <w:tcW w:w="1422" w:type="dxa"/>
            <w:noWrap w:val="0"/>
            <w:vAlign w:val="center"/>
          </w:tcPr>
          <w:p w14:paraId="2B9C4F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3D1666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33DE7E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3F4C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70" w:hRule="atLeast"/>
        </w:trPr>
        <w:tc>
          <w:tcPr>
            <w:tcW w:w="890" w:type="dxa"/>
            <w:vMerge w:val="continue"/>
            <w:noWrap w:val="0"/>
            <w:vAlign w:val="center"/>
          </w:tcPr>
          <w:p w14:paraId="6EDBCB0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2D1D47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财政拨款</w:t>
            </w:r>
          </w:p>
        </w:tc>
        <w:tc>
          <w:tcPr>
            <w:tcW w:w="1137" w:type="dxa"/>
            <w:noWrap w:val="0"/>
            <w:vAlign w:val="center"/>
          </w:tcPr>
          <w:p w14:paraId="5CECABB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504</w:t>
            </w:r>
          </w:p>
        </w:tc>
        <w:tc>
          <w:tcPr>
            <w:tcW w:w="849" w:type="dxa"/>
            <w:noWrap w:val="0"/>
            <w:vAlign w:val="center"/>
          </w:tcPr>
          <w:p w14:paraId="4B5026F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504</w:t>
            </w:r>
          </w:p>
        </w:tc>
        <w:tc>
          <w:tcPr>
            <w:tcW w:w="1422" w:type="dxa"/>
            <w:noWrap w:val="0"/>
            <w:vAlign w:val="center"/>
          </w:tcPr>
          <w:p w14:paraId="5E88EC8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4F50B03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4731EF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1CFB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40" w:hRule="atLeast"/>
        </w:trPr>
        <w:tc>
          <w:tcPr>
            <w:tcW w:w="890" w:type="dxa"/>
            <w:vMerge w:val="continue"/>
            <w:noWrap w:val="0"/>
            <w:vAlign w:val="center"/>
          </w:tcPr>
          <w:p w14:paraId="1D74E4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761188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其他资金</w:t>
            </w:r>
          </w:p>
        </w:tc>
        <w:tc>
          <w:tcPr>
            <w:tcW w:w="1137" w:type="dxa"/>
            <w:noWrap w:val="0"/>
            <w:vAlign w:val="center"/>
          </w:tcPr>
          <w:p w14:paraId="7C52FC3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0</w:t>
            </w:r>
          </w:p>
        </w:tc>
        <w:tc>
          <w:tcPr>
            <w:tcW w:w="849" w:type="dxa"/>
            <w:noWrap w:val="0"/>
            <w:vAlign w:val="center"/>
          </w:tcPr>
          <w:p w14:paraId="2D590F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0</w:t>
            </w:r>
          </w:p>
        </w:tc>
        <w:tc>
          <w:tcPr>
            <w:tcW w:w="1422" w:type="dxa"/>
            <w:noWrap w:val="0"/>
            <w:vAlign w:val="center"/>
          </w:tcPr>
          <w:p w14:paraId="2455148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0322821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2E02A53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4413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13" w:hRule="atLeast"/>
        </w:trPr>
        <w:tc>
          <w:tcPr>
            <w:tcW w:w="890" w:type="dxa"/>
            <w:vMerge w:val="restart"/>
            <w:noWrap w:val="0"/>
            <w:vAlign w:val="center"/>
          </w:tcPr>
          <w:p w14:paraId="66BDE3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财政拨款结构</w:t>
            </w:r>
          </w:p>
        </w:tc>
        <w:tc>
          <w:tcPr>
            <w:tcW w:w="1200" w:type="dxa"/>
            <w:gridSpan w:val="2"/>
            <w:noWrap w:val="0"/>
            <w:vAlign w:val="center"/>
          </w:tcPr>
          <w:p w14:paraId="2E05B4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tc>
        <w:tc>
          <w:tcPr>
            <w:tcW w:w="1137" w:type="dxa"/>
            <w:noWrap w:val="0"/>
            <w:vAlign w:val="center"/>
          </w:tcPr>
          <w:p w14:paraId="2671B7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合计</w:t>
            </w:r>
          </w:p>
        </w:tc>
        <w:tc>
          <w:tcPr>
            <w:tcW w:w="849" w:type="dxa"/>
            <w:noWrap w:val="0"/>
            <w:vAlign w:val="center"/>
          </w:tcPr>
          <w:p w14:paraId="49552E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一般公共预算安排</w:t>
            </w:r>
          </w:p>
        </w:tc>
        <w:tc>
          <w:tcPr>
            <w:tcW w:w="1422" w:type="dxa"/>
            <w:noWrap w:val="0"/>
            <w:vAlign w:val="center"/>
          </w:tcPr>
          <w:p w14:paraId="3E61B1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政府性基金预算安排</w:t>
            </w:r>
          </w:p>
        </w:tc>
        <w:tc>
          <w:tcPr>
            <w:tcW w:w="1558" w:type="dxa"/>
            <w:gridSpan w:val="2"/>
            <w:noWrap w:val="0"/>
            <w:vAlign w:val="center"/>
          </w:tcPr>
          <w:p w14:paraId="3A4817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国有资本经营预算安排</w:t>
            </w:r>
          </w:p>
        </w:tc>
        <w:tc>
          <w:tcPr>
            <w:tcW w:w="1903" w:type="dxa"/>
            <w:noWrap w:val="0"/>
            <w:vAlign w:val="center"/>
          </w:tcPr>
          <w:p w14:paraId="065D77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社保基金预算安排</w:t>
            </w:r>
          </w:p>
        </w:tc>
      </w:tr>
      <w:tr w14:paraId="2BFA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40" w:hRule="atLeast"/>
        </w:trPr>
        <w:tc>
          <w:tcPr>
            <w:tcW w:w="890" w:type="dxa"/>
            <w:vMerge w:val="continue"/>
            <w:noWrap w:val="0"/>
            <w:vAlign w:val="center"/>
          </w:tcPr>
          <w:p w14:paraId="65B2BA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1927FA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预算额</w:t>
            </w:r>
          </w:p>
          <w:p w14:paraId="6445DF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(百元)</w:t>
            </w:r>
          </w:p>
        </w:tc>
        <w:tc>
          <w:tcPr>
            <w:tcW w:w="1137" w:type="dxa"/>
            <w:noWrap w:val="0"/>
            <w:vAlign w:val="center"/>
          </w:tcPr>
          <w:p w14:paraId="37C0E3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504</w:t>
            </w:r>
          </w:p>
        </w:tc>
        <w:tc>
          <w:tcPr>
            <w:tcW w:w="849" w:type="dxa"/>
            <w:noWrap w:val="0"/>
            <w:vAlign w:val="center"/>
          </w:tcPr>
          <w:p w14:paraId="348F40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504</w:t>
            </w:r>
          </w:p>
        </w:tc>
        <w:tc>
          <w:tcPr>
            <w:tcW w:w="1422" w:type="dxa"/>
            <w:noWrap w:val="0"/>
            <w:vAlign w:val="center"/>
          </w:tcPr>
          <w:p w14:paraId="72D93D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0519305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720FE7C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4BC4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40" w:hRule="atLeast"/>
        </w:trPr>
        <w:tc>
          <w:tcPr>
            <w:tcW w:w="890" w:type="dxa"/>
            <w:vMerge w:val="continue"/>
            <w:noWrap w:val="0"/>
            <w:vAlign w:val="center"/>
          </w:tcPr>
          <w:p w14:paraId="379EF23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35B088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执行额</w:t>
            </w:r>
          </w:p>
          <w:p w14:paraId="559EB2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(百元)</w:t>
            </w:r>
          </w:p>
        </w:tc>
        <w:tc>
          <w:tcPr>
            <w:tcW w:w="1137" w:type="dxa"/>
            <w:noWrap w:val="0"/>
            <w:vAlign w:val="center"/>
          </w:tcPr>
          <w:p w14:paraId="0FA054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504</w:t>
            </w:r>
          </w:p>
        </w:tc>
        <w:tc>
          <w:tcPr>
            <w:tcW w:w="849" w:type="dxa"/>
            <w:noWrap w:val="0"/>
            <w:vAlign w:val="center"/>
          </w:tcPr>
          <w:p w14:paraId="5F9FEAD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504</w:t>
            </w:r>
          </w:p>
        </w:tc>
        <w:tc>
          <w:tcPr>
            <w:tcW w:w="1422" w:type="dxa"/>
            <w:noWrap w:val="0"/>
            <w:vAlign w:val="center"/>
          </w:tcPr>
          <w:p w14:paraId="26C7CB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558" w:type="dxa"/>
            <w:gridSpan w:val="2"/>
            <w:noWrap w:val="0"/>
            <w:vAlign w:val="center"/>
          </w:tcPr>
          <w:p w14:paraId="2976E1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558C75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496D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40" w:hRule="atLeast"/>
        </w:trPr>
        <w:tc>
          <w:tcPr>
            <w:tcW w:w="890" w:type="dxa"/>
            <w:vMerge w:val="continue"/>
            <w:noWrap w:val="0"/>
            <w:vAlign w:val="center"/>
          </w:tcPr>
          <w:p w14:paraId="11B2AED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7A79A4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当年结转结余额(百元)</w:t>
            </w:r>
          </w:p>
        </w:tc>
        <w:tc>
          <w:tcPr>
            <w:tcW w:w="1137" w:type="dxa"/>
            <w:noWrap w:val="0"/>
            <w:vAlign w:val="center"/>
          </w:tcPr>
          <w:p w14:paraId="1C99406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849" w:type="dxa"/>
            <w:noWrap w:val="0"/>
            <w:vAlign w:val="center"/>
          </w:tcPr>
          <w:p w14:paraId="7EE8AA0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422" w:type="dxa"/>
            <w:noWrap w:val="0"/>
            <w:vAlign w:val="center"/>
          </w:tcPr>
          <w:p w14:paraId="4AB2946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6960EB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3B2A836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0D65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40" w:hRule="atLeast"/>
        </w:trPr>
        <w:tc>
          <w:tcPr>
            <w:tcW w:w="890" w:type="dxa"/>
            <w:vMerge w:val="continue"/>
            <w:noWrap w:val="0"/>
            <w:vAlign w:val="center"/>
          </w:tcPr>
          <w:p w14:paraId="22E681A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40A2E7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结转结余率%</w:t>
            </w:r>
          </w:p>
        </w:tc>
        <w:tc>
          <w:tcPr>
            <w:tcW w:w="1137" w:type="dxa"/>
            <w:noWrap w:val="0"/>
            <w:vAlign w:val="center"/>
          </w:tcPr>
          <w:p w14:paraId="35DD4F1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849" w:type="dxa"/>
            <w:noWrap w:val="0"/>
            <w:vAlign w:val="center"/>
          </w:tcPr>
          <w:p w14:paraId="26EB55B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422" w:type="dxa"/>
            <w:noWrap w:val="0"/>
            <w:vAlign w:val="center"/>
          </w:tcPr>
          <w:p w14:paraId="540DA4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6BA4295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1B72C1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0694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40" w:hRule="atLeast"/>
        </w:trPr>
        <w:tc>
          <w:tcPr>
            <w:tcW w:w="890" w:type="dxa"/>
            <w:vMerge w:val="continue"/>
            <w:noWrap w:val="0"/>
            <w:vAlign w:val="center"/>
          </w:tcPr>
          <w:p w14:paraId="042CA7A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0E91D1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结转结余变动率%</w:t>
            </w:r>
          </w:p>
        </w:tc>
        <w:tc>
          <w:tcPr>
            <w:tcW w:w="1137" w:type="dxa"/>
            <w:noWrap w:val="0"/>
            <w:vAlign w:val="center"/>
          </w:tcPr>
          <w:p w14:paraId="712D351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849" w:type="dxa"/>
            <w:noWrap w:val="0"/>
            <w:vAlign w:val="center"/>
          </w:tcPr>
          <w:p w14:paraId="3CA7EA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422" w:type="dxa"/>
            <w:noWrap w:val="0"/>
            <w:vAlign w:val="center"/>
          </w:tcPr>
          <w:p w14:paraId="46A69C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67E7FD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584A0D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5E6A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24" w:hRule="atLeast"/>
        </w:trPr>
        <w:tc>
          <w:tcPr>
            <w:tcW w:w="890" w:type="dxa"/>
            <w:vMerge w:val="restart"/>
            <w:noWrap w:val="0"/>
            <w:vAlign w:val="center"/>
          </w:tcPr>
          <w:p w14:paraId="12F699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年度总体目标</w:t>
            </w:r>
          </w:p>
        </w:tc>
        <w:tc>
          <w:tcPr>
            <w:tcW w:w="2337" w:type="dxa"/>
            <w:gridSpan w:val="3"/>
            <w:noWrap w:val="0"/>
            <w:vAlign w:val="center"/>
          </w:tcPr>
          <w:p w14:paraId="065053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w:t>
            </w:r>
          </w:p>
        </w:tc>
        <w:tc>
          <w:tcPr>
            <w:tcW w:w="2271" w:type="dxa"/>
            <w:gridSpan w:val="2"/>
            <w:noWrap w:val="0"/>
            <w:vAlign w:val="center"/>
          </w:tcPr>
          <w:p w14:paraId="3DD832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预算总体目标执行结果</w:t>
            </w:r>
          </w:p>
        </w:tc>
        <w:tc>
          <w:tcPr>
            <w:tcW w:w="3461" w:type="dxa"/>
            <w:gridSpan w:val="3"/>
            <w:noWrap w:val="0"/>
            <w:vAlign w:val="center"/>
          </w:tcPr>
          <w:p w14:paraId="796442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预算总体目标与预算总体目标执行结果偏差情况及原因分析</w:t>
            </w:r>
          </w:p>
        </w:tc>
      </w:tr>
      <w:tr w14:paraId="00FD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70" w:hRule="atLeast"/>
        </w:trPr>
        <w:tc>
          <w:tcPr>
            <w:tcW w:w="890" w:type="dxa"/>
            <w:vMerge w:val="continue"/>
            <w:noWrap w:val="0"/>
            <w:vAlign w:val="center"/>
          </w:tcPr>
          <w:p w14:paraId="61253C0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2337" w:type="dxa"/>
            <w:gridSpan w:val="3"/>
            <w:noWrap w:val="0"/>
            <w:vAlign w:val="center"/>
          </w:tcPr>
          <w:p w14:paraId="7D5577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hint="eastAsia" w:ascii="宋体" w:hAnsi="宋体" w:cs="宋体"/>
                <w:color w:val="000000"/>
                <w:sz w:val="24"/>
              </w:rPr>
              <w:t>综治中心功能发挥正常，联网应用更充分，视频会议、应急调度、治安防控等实战作用充分发挥。</w:t>
            </w:r>
          </w:p>
        </w:tc>
        <w:tc>
          <w:tcPr>
            <w:tcW w:w="2271" w:type="dxa"/>
            <w:gridSpan w:val="2"/>
            <w:noWrap w:val="0"/>
            <w:vAlign w:val="center"/>
          </w:tcPr>
          <w:p w14:paraId="0D4A9B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hint="eastAsia" w:ascii="宋体" w:hAnsi="宋体"/>
                <w:color w:val="000000"/>
                <w:kern w:val="0"/>
                <w:sz w:val="18"/>
                <w:szCs w:val="18"/>
              </w:rPr>
              <w:t>已完成</w:t>
            </w:r>
            <w:r>
              <w:rPr>
                <w:rFonts w:ascii="宋体" w:hAnsi="宋体"/>
                <w:color w:val="000000"/>
                <w:kern w:val="0"/>
                <w:sz w:val="18"/>
                <w:szCs w:val="18"/>
              </w:rPr>
              <w:t>　</w:t>
            </w:r>
          </w:p>
        </w:tc>
        <w:tc>
          <w:tcPr>
            <w:tcW w:w="3461" w:type="dxa"/>
            <w:gridSpan w:val="3"/>
            <w:noWrap w:val="0"/>
            <w:vAlign w:val="center"/>
          </w:tcPr>
          <w:p w14:paraId="4120B5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hint="eastAsia" w:ascii="宋体" w:hAnsi="宋体"/>
                <w:color w:val="000000"/>
                <w:kern w:val="0"/>
                <w:sz w:val="18"/>
                <w:szCs w:val="18"/>
              </w:rPr>
              <w:t>无偏差</w:t>
            </w:r>
            <w:r>
              <w:rPr>
                <w:rFonts w:ascii="宋体" w:hAnsi="宋体"/>
                <w:color w:val="000000"/>
                <w:kern w:val="0"/>
                <w:sz w:val="18"/>
                <w:szCs w:val="18"/>
              </w:rPr>
              <w:t>　</w:t>
            </w:r>
          </w:p>
        </w:tc>
      </w:tr>
      <w:tr w14:paraId="5D95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90" w:type="dxa"/>
            <w:vMerge w:val="restart"/>
            <w:noWrap w:val="0"/>
            <w:vAlign w:val="center"/>
          </w:tcPr>
          <w:p w14:paraId="690C66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年度绩</w:t>
            </w:r>
          </w:p>
          <w:p w14:paraId="7DF9D9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效指标</w:t>
            </w:r>
          </w:p>
        </w:tc>
        <w:tc>
          <w:tcPr>
            <w:tcW w:w="847" w:type="dxa"/>
            <w:noWrap w:val="0"/>
            <w:vAlign w:val="center"/>
          </w:tcPr>
          <w:p w14:paraId="6D681B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一级</w:t>
            </w:r>
          </w:p>
          <w:p w14:paraId="20AE16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490" w:type="dxa"/>
            <w:gridSpan w:val="2"/>
            <w:noWrap w:val="0"/>
            <w:vAlign w:val="center"/>
          </w:tcPr>
          <w:p w14:paraId="5FE4E3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二级指标</w:t>
            </w:r>
          </w:p>
        </w:tc>
        <w:tc>
          <w:tcPr>
            <w:tcW w:w="849" w:type="dxa"/>
            <w:noWrap w:val="0"/>
            <w:vAlign w:val="center"/>
          </w:tcPr>
          <w:p w14:paraId="152EF0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三级</w:t>
            </w:r>
          </w:p>
          <w:p w14:paraId="23C395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422" w:type="dxa"/>
            <w:noWrap w:val="0"/>
            <w:vAlign w:val="center"/>
          </w:tcPr>
          <w:p w14:paraId="03C43B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预算指标值(包含数字及文字描述)</w:t>
            </w:r>
          </w:p>
        </w:tc>
        <w:tc>
          <w:tcPr>
            <w:tcW w:w="1414" w:type="dxa"/>
            <w:noWrap w:val="0"/>
            <w:vAlign w:val="center"/>
          </w:tcPr>
          <w:p w14:paraId="50CAAD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预算指标值执行结果(包含数字及文字描述)</w:t>
            </w:r>
          </w:p>
        </w:tc>
        <w:tc>
          <w:tcPr>
            <w:tcW w:w="2058" w:type="dxa"/>
            <w:gridSpan w:val="3"/>
            <w:noWrap w:val="0"/>
            <w:vAlign w:val="center"/>
          </w:tcPr>
          <w:p w14:paraId="187B63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预算指标值与预算指标值执行结果偏差情况及原因分析</w:t>
            </w:r>
          </w:p>
        </w:tc>
      </w:tr>
      <w:tr w14:paraId="533A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678C03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restart"/>
            <w:noWrap w:val="0"/>
            <w:vAlign w:val="center"/>
          </w:tcPr>
          <w:p w14:paraId="3EFD50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7FDBE5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完成</w:t>
            </w:r>
          </w:p>
        </w:tc>
        <w:tc>
          <w:tcPr>
            <w:tcW w:w="1490" w:type="dxa"/>
            <w:gridSpan w:val="2"/>
            <w:noWrap w:val="0"/>
            <w:vAlign w:val="center"/>
          </w:tcPr>
          <w:p w14:paraId="71B5A2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数量</w:t>
            </w:r>
          </w:p>
          <w:p w14:paraId="02D754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849" w:type="dxa"/>
            <w:noWrap w:val="0"/>
            <w:vAlign w:val="center"/>
          </w:tcPr>
          <w:p w14:paraId="5CA38A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18"/>
                <w:szCs w:val="18"/>
              </w:rPr>
            </w:pPr>
            <w:r>
              <w:rPr>
                <w:rFonts w:hint="eastAsia" w:ascii="宋体" w:hAnsi="宋体"/>
                <w:kern w:val="0"/>
                <w:sz w:val="18"/>
                <w:szCs w:val="18"/>
              </w:rPr>
              <w:t>排查化解各类矛盾纠纷</w:t>
            </w:r>
          </w:p>
        </w:tc>
        <w:tc>
          <w:tcPr>
            <w:tcW w:w="1422" w:type="dxa"/>
            <w:noWrap w:val="0"/>
            <w:vAlign w:val="center"/>
          </w:tcPr>
          <w:p w14:paraId="47F1540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18"/>
                <w:szCs w:val="18"/>
              </w:rPr>
            </w:pPr>
            <w:r>
              <w:rPr>
                <w:rFonts w:hint="eastAsia" w:ascii="宋体" w:hAnsi="宋体"/>
                <w:kern w:val="0"/>
                <w:sz w:val="18"/>
                <w:szCs w:val="18"/>
              </w:rPr>
              <w:t>排查31399件，化解31335件</w:t>
            </w:r>
          </w:p>
        </w:tc>
        <w:tc>
          <w:tcPr>
            <w:tcW w:w="1414" w:type="dxa"/>
            <w:noWrap w:val="0"/>
            <w:vAlign w:val="center"/>
          </w:tcPr>
          <w:p w14:paraId="433B9C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18"/>
                <w:szCs w:val="18"/>
              </w:rPr>
            </w:pPr>
            <w:r>
              <w:rPr>
                <w:rFonts w:hint="eastAsia" w:ascii="宋体" w:hAnsi="宋体"/>
                <w:kern w:val="0"/>
                <w:sz w:val="18"/>
                <w:szCs w:val="18"/>
              </w:rPr>
              <w:t>已完成</w:t>
            </w:r>
          </w:p>
        </w:tc>
        <w:tc>
          <w:tcPr>
            <w:tcW w:w="2058" w:type="dxa"/>
            <w:gridSpan w:val="3"/>
            <w:noWrap w:val="0"/>
            <w:vAlign w:val="center"/>
          </w:tcPr>
          <w:p w14:paraId="50E715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无偏差</w:t>
            </w:r>
          </w:p>
        </w:tc>
      </w:tr>
      <w:tr w14:paraId="1316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7EAD3D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5347634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90" w:type="dxa"/>
            <w:gridSpan w:val="2"/>
            <w:noWrap w:val="0"/>
            <w:vAlign w:val="center"/>
          </w:tcPr>
          <w:p w14:paraId="097654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质量</w:t>
            </w:r>
          </w:p>
          <w:p w14:paraId="130062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849" w:type="dxa"/>
            <w:noWrap w:val="0"/>
            <w:vAlign w:val="center"/>
          </w:tcPr>
          <w:p w14:paraId="0886F95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18"/>
                <w:szCs w:val="18"/>
              </w:rPr>
            </w:pPr>
            <w:r>
              <w:rPr>
                <w:rFonts w:hint="eastAsia" w:ascii="宋体" w:hAnsi="宋体"/>
                <w:kern w:val="0"/>
                <w:sz w:val="18"/>
                <w:szCs w:val="18"/>
              </w:rPr>
              <w:t>化解成功率</w:t>
            </w:r>
          </w:p>
        </w:tc>
        <w:tc>
          <w:tcPr>
            <w:tcW w:w="1422" w:type="dxa"/>
            <w:noWrap w:val="0"/>
            <w:vAlign w:val="center"/>
          </w:tcPr>
          <w:p w14:paraId="2B7F3D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18"/>
                <w:szCs w:val="18"/>
              </w:rPr>
            </w:pPr>
            <w:r>
              <w:rPr>
                <w:rFonts w:hint="eastAsia" w:ascii="宋体" w:hAnsi="宋体"/>
                <w:kern w:val="0"/>
                <w:sz w:val="18"/>
                <w:szCs w:val="18"/>
              </w:rPr>
              <w:t>99.8%</w:t>
            </w:r>
          </w:p>
        </w:tc>
        <w:tc>
          <w:tcPr>
            <w:tcW w:w="1414" w:type="dxa"/>
            <w:noWrap w:val="0"/>
            <w:vAlign w:val="center"/>
          </w:tcPr>
          <w:p w14:paraId="2A8AEE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18"/>
                <w:szCs w:val="18"/>
              </w:rPr>
            </w:pPr>
            <w:r>
              <w:rPr>
                <w:rFonts w:hint="eastAsia" w:ascii="宋体" w:hAnsi="宋体"/>
                <w:kern w:val="0"/>
                <w:sz w:val="18"/>
                <w:szCs w:val="18"/>
              </w:rPr>
              <w:t>已完成</w:t>
            </w:r>
          </w:p>
        </w:tc>
        <w:tc>
          <w:tcPr>
            <w:tcW w:w="2058" w:type="dxa"/>
            <w:gridSpan w:val="3"/>
            <w:noWrap w:val="0"/>
            <w:vAlign w:val="center"/>
          </w:tcPr>
          <w:p w14:paraId="3542433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无偏差</w:t>
            </w:r>
          </w:p>
        </w:tc>
      </w:tr>
      <w:tr w14:paraId="4BDD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5365A67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0146205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90" w:type="dxa"/>
            <w:gridSpan w:val="2"/>
            <w:noWrap w:val="0"/>
            <w:vAlign w:val="center"/>
          </w:tcPr>
          <w:p w14:paraId="785E53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时效</w:t>
            </w:r>
          </w:p>
          <w:p w14:paraId="621B34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849" w:type="dxa"/>
            <w:noWrap w:val="0"/>
            <w:vAlign w:val="center"/>
          </w:tcPr>
          <w:p w14:paraId="33D194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18"/>
                <w:szCs w:val="18"/>
              </w:rPr>
            </w:pPr>
            <w:r>
              <w:rPr>
                <w:rFonts w:ascii="宋体" w:hAnsi="宋体"/>
                <w:kern w:val="0"/>
                <w:sz w:val="18"/>
                <w:szCs w:val="18"/>
              </w:rPr>
              <w:t>　</w:t>
            </w:r>
            <w:r>
              <w:rPr>
                <w:rFonts w:hint="eastAsia" w:ascii="宋体" w:hAnsi="宋体"/>
                <w:kern w:val="0"/>
                <w:sz w:val="18"/>
                <w:szCs w:val="18"/>
              </w:rPr>
              <w:t>化解及时性</w:t>
            </w:r>
          </w:p>
        </w:tc>
        <w:tc>
          <w:tcPr>
            <w:tcW w:w="1422" w:type="dxa"/>
            <w:noWrap w:val="0"/>
            <w:vAlign w:val="center"/>
          </w:tcPr>
          <w:p w14:paraId="51EC6C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18"/>
                <w:szCs w:val="18"/>
              </w:rPr>
            </w:pPr>
            <w:r>
              <w:rPr>
                <w:rFonts w:ascii="宋体" w:hAnsi="宋体"/>
                <w:kern w:val="0"/>
                <w:sz w:val="18"/>
                <w:szCs w:val="18"/>
              </w:rPr>
              <w:t>　</w:t>
            </w:r>
            <w:r>
              <w:rPr>
                <w:rFonts w:hint="eastAsia" w:ascii="宋体" w:hAnsi="宋体"/>
                <w:kern w:val="0"/>
                <w:sz w:val="18"/>
                <w:szCs w:val="18"/>
              </w:rPr>
              <w:t>及时</w:t>
            </w:r>
          </w:p>
        </w:tc>
        <w:tc>
          <w:tcPr>
            <w:tcW w:w="1414" w:type="dxa"/>
            <w:noWrap w:val="0"/>
            <w:vAlign w:val="center"/>
          </w:tcPr>
          <w:p w14:paraId="169670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18"/>
                <w:szCs w:val="18"/>
              </w:rPr>
            </w:pPr>
            <w:r>
              <w:rPr>
                <w:rFonts w:hint="eastAsia" w:ascii="宋体" w:hAnsi="宋体"/>
                <w:kern w:val="0"/>
                <w:sz w:val="18"/>
                <w:szCs w:val="18"/>
              </w:rPr>
              <w:t>已完成</w:t>
            </w:r>
          </w:p>
        </w:tc>
        <w:tc>
          <w:tcPr>
            <w:tcW w:w="2058" w:type="dxa"/>
            <w:gridSpan w:val="3"/>
            <w:noWrap w:val="0"/>
            <w:vAlign w:val="center"/>
          </w:tcPr>
          <w:p w14:paraId="6C3A0D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无偏差</w:t>
            </w:r>
          </w:p>
        </w:tc>
      </w:tr>
      <w:tr w14:paraId="75A9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4BB533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25A92C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90" w:type="dxa"/>
            <w:gridSpan w:val="2"/>
            <w:noWrap w:val="0"/>
            <w:vAlign w:val="center"/>
          </w:tcPr>
          <w:p w14:paraId="104974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成本</w:t>
            </w:r>
          </w:p>
          <w:p w14:paraId="19CB86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849" w:type="dxa"/>
            <w:noWrap w:val="0"/>
            <w:vAlign w:val="center"/>
          </w:tcPr>
          <w:p w14:paraId="2C96C0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18"/>
                <w:szCs w:val="18"/>
              </w:rPr>
            </w:pPr>
            <w:r>
              <w:rPr>
                <w:rFonts w:hint="eastAsia" w:ascii="宋体" w:hAnsi="宋体"/>
                <w:kern w:val="0"/>
                <w:sz w:val="18"/>
                <w:szCs w:val="18"/>
              </w:rPr>
              <w:t>成本控制</w:t>
            </w:r>
          </w:p>
        </w:tc>
        <w:tc>
          <w:tcPr>
            <w:tcW w:w="1422" w:type="dxa"/>
            <w:noWrap w:val="0"/>
            <w:vAlign w:val="center"/>
          </w:tcPr>
          <w:p w14:paraId="54B00A4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18"/>
                <w:szCs w:val="18"/>
              </w:rPr>
            </w:pPr>
            <w:r>
              <w:rPr>
                <w:rFonts w:hint="eastAsia" w:ascii="宋体" w:hAnsi="宋体"/>
                <w:kern w:val="0"/>
                <w:sz w:val="18"/>
                <w:szCs w:val="18"/>
              </w:rPr>
              <w:t>预算5.04万元，支出5.04万元</w:t>
            </w:r>
          </w:p>
        </w:tc>
        <w:tc>
          <w:tcPr>
            <w:tcW w:w="1414" w:type="dxa"/>
            <w:noWrap w:val="0"/>
            <w:vAlign w:val="center"/>
          </w:tcPr>
          <w:p w14:paraId="687E2BB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18"/>
                <w:szCs w:val="18"/>
              </w:rPr>
            </w:pPr>
            <w:r>
              <w:rPr>
                <w:rFonts w:hint="eastAsia" w:ascii="宋体" w:hAnsi="宋体"/>
                <w:kern w:val="0"/>
                <w:sz w:val="18"/>
                <w:szCs w:val="18"/>
              </w:rPr>
              <w:t>控制率100%</w:t>
            </w:r>
          </w:p>
        </w:tc>
        <w:tc>
          <w:tcPr>
            <w:tcW w:w="2058" w:type="dxa"/>
            <w:gridSpan w:val="3"/>
            <w:noWrap w:val="0"/>
            <w:vAlign w:val="center"/>
          </w:tcPr>
          <w:p w14:paraId="7967C43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无偏差</w:t>
            </w:r>
          </w:p>
        </w:tc>
      </w:tr>
      <w:tr w14:paraId="1BCB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245B1E6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FF0000"/>
                <w:kern w:val="0"/>
                <w:sz w:val="18"/>
                <w:szCs w:val="18"/>
              </w:rPr>
            </w:pPr>
          </w:p>
        </w:tc>
        <w:tc>
          <w:tcPr>
            <w:tcW w:w="847" w:type="dxa"/>
            <w:vMerge w:val="continue"/>
            <w:noWrap w:val="0"/>
            <w:vAlign w:val="center"/>
          </w:tcPr>
          <w:p w14:paraId="524B1B0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FF0000"/>
                <w:kern w:val="0"/>
                <w:sz w:val="18"/>
                <w:szCs w:val="18"/>
              </w:rPr>
            </w:pPr>
          </w:p>
        </w:tc>
        <w:tc>
          <w:tcPr>
            <w:tcW w:w="1490" w:type="dxa"/>
            <w:gridSpan w:val="2"/>
            <w:noWrap w:val="0"/>
            <w:vAlign w:val="center"/>
          </w:tcPr>
          <w:p w14:paraId="366DFF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社会效益指标</w:t>
            </w:r>
          </w:p>
        </w:tc>
        <w:tc>
          <w:tcPr>
            <w:tcW w:w="849" w:type="dxa"/>
            <w:noWrap w:val="0"/>
            <w:vAlign w:val="center"/>
          </w:tcPr>
          <w:p w14:paraId="2F06D0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18"/>
                <w:szCs w:val="18"/>
              </w:rPr>
            </w:pPr>
            <w:r>
              <w:rPr>
                <w:rFonts w:hint="eastAsia" w:ascii="宋体" w:hAnsi="宋体"/>
                <w:kern w:val="0"/>
                <w:sz w:val="18"/>
                <w:szCs w:val="18"/>
              </w:rPr>
              <w:t>为社会治安防控工作提供智治支撑</w:t>
            </w:r>
          </w:p>
        </w:tc>
        <w:tc>
          <w:tcPr>
            <w:tcW w:w="1422" w:type="dxa"/>
            <w:noWrap w:val="0"/>
            <w:vAlign w:val="center"/>
          </w:tcPr>
          <w:p w14:paraId="7AD58C9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18"/>
                <w:szCs w:val="18"/>
              </w:rPr>
            </w:pPr>
            <w:r>
              <w:rPr>
                <w:rFonts w:hint="eastAsia" w:ascii="宋体" w:hAnsi="宋体"/>
                <w:kern w:val="0"/>
                <w:sz w:val="18"/>
                <w:szCs w:val="18"/>
              </w:rPr>
              <w:t>在线率90%以上</w:t>
            </w:r>
          </w:p>
        </w:tc>
        <w:tc>
          <w:tcPr>
            <w:tcW w:w="1414" w:type="dxa"/>
            <w:noWrap w:val="0"/>
            <w:vAlign w:val="center"/>
          </w:tcPr>
          <w:p w14:paraId="400D8D2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18"/>
                <w:szCs w:val="18"/>
              </w:rPr>
            </w:pPr>
            <w:r>
              <w:rPr>
                <w:rFonts w:hint="eastAsia" w:ascii="宋体" w:hAnsi="宋体"/>
                <w:kern w:val="0"/>
                <w:sz w:val="18"/>
                <w:szCs w:val="18"/>
              </w:rPr>
              <w:t>已完成</w:t>
            </w:r>
          </w:p>
        </w:tc>
        <w:tc>
          <w:tcPr>
            <w:tcW w:w="2058" w:type="dxa"/>
            <w:gridSpan w:val="3"/>
            <w:noWrap w:val="0"/>
            <w:vAlign w:val="center"/>
          </w:tcPr>
          <w:p w14:paraId="048EC8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　无偏差</w:t>
            </w:r>
          </w:p>
        </w:tc>
      </w:tr>
      <w:tr w14:paraId="6139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40D902B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FF0000"/>
                <w:kern w:val="0"/>
                <w:sz w:val="18"/>
                <w:szCs w:val="18"/>
              </w:rPr>
            </w:pPr>
          </w:p>
        </w:tc>
        <w:tc>
          <w:tcPr>
            <w:tcW w:w="847" w:type="dxa"/>
            <w:noWrap w:val="0"/>
            <w:vAlign w:val="center"/>
          </w:tcPr>
          <w:p w14:paraId="3E1599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满意度</w:t>
            </w:r>
          </w:p>
          <w:p w14:paraId="385A17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FF0000"/>
                <w:kern w:val="0"/>
                <w:sz w:val="18"/>
                <w:szCs w:val="18"/>
              </w:rPr>
            </w:pPr>
            <w:r>
              <w:rPr>
                <w:rFonts w:hint="eastAsia" w:ascii="宋体" w:hAnsi="宋体"/>
                <w:color w:val="000000"/>
                <w:kern w:val="0"/>
                <w:sz w:val="18"/>
                <w:szCs w:val="18"/>
              </w:rPr>
              <w:t>指标</w:t>
            </w:r>
          </w:p>
        </w:tc>
        <w:tc>
          <w:tcPr>
            <w:tcW w:w="1490" w:type="dxa"/>
            <w:gridSpan w:val="2"/>
            <w:noWrap w:val="0"/>
            <w:vAlign w:val="center"/>
          </w:tcPr>
          <w:p w14:paraId="6A955A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满意度指标</w:t>
            </w:r>
          </w:p>
        </w:tc>
        <w:tc>
          <w:tcPr>
            <w:tcW w:w="849" w:type="dxa"/>
            <w:noWrap w:val="0"/>
            <w:vAlign w:val="center"/>
          </w:tcPr>
          <w:p w14:paraId="2851A6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18"/>
                <w:szCs w:val="18"/>
              </w:rPr>
            </w:pPr>
            <w:r>
              <w:rPr>
                <w:rFonts w:hint="eastAsia" w:ascii="宋体" w:hAnsi="宋体"/>
                <w:kern w:val="0"/>
                <w:sz w:val="18"/>
                <w:szCs w:val="18"/>
              </w:rPr>
              <w:t>用户使用满意度</w:t>
            </w:r>
          </w:p>
        </w:tc>
        <w:tc>
          <w:tcPr>
            <w:tcW w:w="1422" w:type="dxa"/>
            <w:noWrap w:val="0"/>
            <w:vAlign w:val="center"/>
          </w:tcPr>
          <w:p w14:paraId="348A2A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18"/>
                <w:szCs w:val="18"/>
              </w:rPr>
            </w:pPr>
            <w:r>
              <w:rPr>
                <w:rFonts w:hint="eastAsia" w:ascii="宋体" w:hAnsi="宋体"/>
                <w:kern w:val="0"/>
                <w:sz w:val="18"/>
                <w:szCs w:val="18"/>
              </w:rPr>
              <w:t>　满意</w:t>
            </w:r>
          </w:p>
        </w:tc>
        <w:tc>
          <w:tcPr>
            <w:tcW w:w="1414" w:type="dxa"/>
            <w:noWrap w:val="0"/>
            <w:vAlign w:val="center"/>
          </w:tcPr>
          <w:p w14:paraId="738D061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18"/>
                <w:szCs w:val="18"/>
              </w:rPr>
            </w:pPr>
            <w:r>
              <w:rPr>
                <w:rFonts w:hint="eastAsia" w:ascii="宋体" w:hAnsi="宋体"/>
                <w:kern w:val="0"/>
                <w:sz w:val="18"/>
                <w:szCs w:val="18"/>
              </w:rPr>
              <w:t>已完成</w:t>
            </w:r>
          </w:p>
        </w:tc>
        <w:tc>
          <w:tcPr>
            <w:tcW w:w="2058" w:type="dxa"/>
            <w:gridSpan w:val="3"/>
            <w:noWrap w:val="0"/>
            <w:vAlign w:val="center"/>
          </w:tcPr>
          <w:p w14:paraId="27BFC22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　无偏差</w:t>
            </w:r>
          </w:p>
        </w:tc>
      </w:tr>
    </w:tbl>
    <w:p w14:paraId="70CBAF6F">
      <w:pPr>
        <w:widowControl/>
        <w:spacing w:line="600" w:lineRule="exact"/>
        <w:jc w:val="left"/>
        <w:rPr>
          <w:rFonts w:hint="eastAsia" w:ascii="宋体" w:hAnsi="宋体"/>
          <w:color w:val="FF0000"/>
          <w:kern w:val="0"/>
          <w:sz w:val="18"/>
          <w:szCs w:val="18"/>
        </w:rPr>
      </w:pPr>
    </w:p>
    <w:p w14:paraId="51801299">
      <w:pPr>
        <w:spacing w:line="600" w:lineRule="exact"/>
        <w:jc w:val="center"/>
        <w:rPr>
          <w:rFonts w:hint="eastAsia" w:ascii="宋体" w:hAnsi="宋体" w:eastAsia="方正小标宋简体" w:cs="方正小标宋简体"/>
          <w:color w:val="000000"/>
          <w:spacing w:val="-12"/>
          <w:kern w:val="0"/>
          <w:sz w:val="44"/>
          <w:szCs w:val="44"/>
        </w:rPr>
      </w:pPr>
    </w:p>
    <w:p w14:paraId="29F2914A">
      <w:pPr>
        <w:spacing w:line="600" w:lineRule="exact"/>
        <w:jc w:val="center"/>
        <w:rPr>
          <w:rFonts w:hint="eastAsia" w:ascii="宋体" w:hAnsi="宋体" w:eastAsia="方正小标宋简体" w:cs="方正小标宋简体"/>
          <w:color w:val="000000"/>
          <w:spacing w:val="-12"/>
          <w:kern w:val="0"/>
          <w:sz w:val="44"/>
          <w:szCs w:val="44"/>
        </w:rPr>
      </w:pPr>
    </w:p>
    <w:p w14:paraId="67E6EBD4">
      <w:pPr>
        <w:spacing w:line="600" w:lineRule="exact"/>
        <w:jc w:val="center"/>
        <w:rPr>
          <w:rFonts w:hint="eastAsia" w:ascii="宋体" w:hAnsi="宋体" w:eastAsia="方正小标宋简体" w:cs="方正小标宋简体"/>
          <w:color w:val="000000"/>
          <w:spacing w:val="-12"/>
          <w:kern w:val="0"/>
          <w:sz w:val="44"/>
          <w:szCs w:val="44"/>
        </w:rPr>
      </w:pPr>
    </w:p>
    <w:p w14:paraId="7CCBBB2D">
      <w:pPr>
        <w:spacing w:line="600" w:lineRule="exact"/>
        <w:jc w:val="center"/>
        <w:rPr>
          <w:rFonts w:hint="eastAsia" w:ascii="宋体" w:hAnsi="宋体" w:eastAsia="方正小标宋简体" w:cs="方正小标宋简体"/>
          <w:color w:val="000000"/>
          <w:spacing w:val="-12"/>
          <w:kern w:val="0"/>
          <w:sz w:val="44"/>
          <w:szCs w:val="44"/>
        </w:rPr>
      </w:pPr>
    </w:p>
    <w:p w14:paraId="2CFA284D">
      <w:pPr>
        <w:spacing w:line="600" w:lineRule="exact"/>
        <w:jc w:val="center"/>
        <w:rPr>
          <w:rFonts w:hint="eastAsia" w:ascii="宋体" w:hAnsi="宋体" w:eastAsia="方正小标宋简体" w:cs="方正小标宋简体"/>
          <w:color w:val="000000"/>
          <w:spacing w:val="-12"/>
          <w:kern w:val="0"/>
          <w:sz w:val="44"/>
          <w:szCs w:val="44"/>
        </w:rPr>
      </w:pPr>
    </w:p>
    <w:p w14:paraId="11D39F42">
      <w:pPr>
        <w:spacing w:line="600" w:lineRule="exact"/>
        <w:jc w:val="center"/>
        <w:rPr>
          <w:rFonts w:hint="eastAsia" w:ascii="宋体" w:hAnsi="宋体" w:eastAsia="方正小标宋简体" w:cs="方正小标宋简体"/>
          <w:color w:val="000000"/>
          <w:spacing w:val="-12"/>
          <w:kern w:val="0"/>
          <w:sz w:val="44"/>
          <w:szCs w:val="44"/>
        </w:rPr>
      </w:pPr>
    </w:p>
    <w:p w14:paraId="4142C543">
      <w:pPr>
        <w:spacing w:line="600" w:lineRule="exact"/>
        <w:jc w:val="center"/>
        <w:rPr>
          <w:rFonts w:hint="eastAsia" w:ascii="宋体" w:hAnsi="宋体" w:eastAsia="方正小标宋简体" w:cs="方正小标宋简体"/>
          <w:color w:val="000000"/>
          <w:spacing w:val="-12"/>
          <w:kern w:val="0"/>
          <w:sz w:val="44"/>
          <w:szCs w:val="44"/>
        </w:rPr>
      </w:pPr>
    </w:p>
    <w:p w14:paraId="60C6EB16">
      <w:pPr>
        <w:spacing w:line="600" w:lineRule="exact"/>
        <w:jc w:val="center"/>
        <w:rPr>
          <w:rFonts w:hint="eastAsia" w:ascii="宋体" w:hAnsi="宋体" w:eastAsia="方正小标宋简体" w:cs="方正小标宋简体"/>
          <w:color w:val="000000"/>
          <w:spacing w:val="-12"/>
          <w:kern w:val="0"/>
          <w:sz w:val="44"/>
          <w:szCs w:val="44"/>
        </w:rPr>
      </w:pPr>
    </w:p>
    <w:p w14:paraId="6CD0C261">
      <w:pPr>
        <w:spacing w:line="600" w:lineRule="exact"/>
        <w:jc w:val="left"/>
        <w:rPr>
          <w:rFonts w:hint="eastAsia" w:ascii="宋体" w:hAnsi="宋体" w:eastAsia="方正小标宋简体" w:cs="方正小标宋简体"/>
          <w:color w:val="000000"/>
          <w:spacing w:val="-12"/>
          <w:kern w:val="0"/>
          <w:sz w:val="32"/>
          <w:szCs w:val="32"/>
          <w:lang w:val="en-US" w:eastAsia="zh-CN"/>
        </w:rPr>
      </w:pPr>
      <w:r>
        <w:rPr>
          <w:rFonts w:hint="eastAsia" w:ascii="宋体" w:hAnsi="宋体" w:eastAsia="方正小标宋简体" w:cs="方正小标宋简体"/>
          <w:color w:val="000000"/>
          <w:spacing w:val="-12"/>
          <w:kern w:val="0"/>
          <w:sz w:val="32"/>
          <w:szCs w:val="32"/>
          <w:lang w:eastAsia="zh-CN"/>
        </w:rPr>
        <w:t>附件</w:t>
      </w:r>
      <w:r>
        <w:rPr>
          <w:rFonts w:hint="eastAsia" w:ascii="宋体" w:hAnsi="宋体" w:eastAsia="方正小标宋简体" w:cs="方正小标宋简体"/>
          <w:color w:val="000000"/>
          <w:spacing w:val="-12"/>
          <w:kern w:val="0"/>
          <w:sz w:val="32"/>
          <w:szCs w:val="32"/>
          <w:lang w:val="en-US" w:eastAsia="zh-CN"/>
        </w:rPr>
        <w:t>2</w:t>
      </w:r>
    </w:p>
    <w:p w14:paraId="72BB1C6D">
      <w:pPr>
        <w:spacing w:line="600" w:lineRule="exact"/>
        <w:jc w:val="center"/>
        <w:rPr>
          <w:rFonts w:hint="eastAsia" w:ascii="宋体" w:hAnsi="宋体" w:eastAsia="方正小标宋简体" w:cs="方正小标宋简体"/>
          <w:color w:val="000000"/>
          <w:spacing w:val="-12"/>
          <w:kern w:val="0"/>
          <w:sz w:val="44"/>
          <w:szCs w:val="44"/>
        </w:rPr>
      </w:pPr>
      <w:r>
        <w:rPr>
          <w:rFonts w:hint="eastAsia" w:ascii="宋体" w:hAnsi="宋体" w:eastAsia="方正小标宋简体" w:cs="方正小标宋简体"/>
          <w:color w:val="000000"/>
          <w:spacing w:val="-12"/>
          <w:kern w:val="0"/>
          <w:sz w:val="44"/>
          <w:szCs w:val="44"/>
        </w:rPr>
        <w:t>2023年市级项目支出绩效自评报告</w:t>
      </w:r>
    </w:p>
    <w:p w14:paraId="0B95D46F">
      <w:pPr>
        <w:spacing w:line="600" w:lineRule="exact"/>
        <w:jc w:val="center"/>
        <w:rPr>
          <w:rFonts w:ascii="宋体" w:hAnsi="宋体" w:eastAsia="方正楷体简体"/>
          <w:b/>
          <w:sz w:val="32"/>
          <w:szCs w:val="32"/>
        </w:rPr>
      </w:pPr>
      <w:r>
        <w:rPr>
          <w:rFonts w:ascii="宋体" w:hAnsi="宋体" w:eastAsia="方正楷体简体"/>
          <w:b/>
          <w:sz w:val="32"/>
          <w:szCs w:val="32"/>
        </w:rPr>
        <w:t>（</w:t>
      </w:r>
      <w:r>
        <w:rPr>
          <w:rFonts w:hint="eastAsia" w:ascii="宋体" w:hAnsi="宋体" w:eastAsia="方正楷体简体"/>
          <w:b/>
          <w:sz w:val="32"/>
          <w:szCs w:val="32"/>
        </w:rPr>
        <w:t>特种作业车辆购置</w:t>
      </w:r>
      <w:r>
        <w:rPr>
          <w:rFonts w:ascii="宋体" w:hAnsi="宋体" w:eastAsia="方正楷体简体"/>
          <w:b/>
          <w:sz w:val="32"/>
          <w:szCs w:val="32"/>
        </w:rPr>
        <w:t>）</w:t>
      </w:r>
    </w:p>
    <w:p w14:paraId="27437773">
      <w:pPr>
        <w:pStyle w:val="2"/>
        <w:spacing w:line="600" w:lineRule="exact"/>
        <w:rPr>
          <w:rFonts w:ascii="宋体" w:hAnsi="宋体" w:eastAsia="方正仿宋简体"/>
          <w:sz w:val="32"/>
          <w:szCs w:val="32"/>
        </w:rPr>
      </w:pPr>
    </w:p>
    <w:p w14:paraId="2CAD01D8">
      <w:pPr>
        <w:spacing w:line="600" w:lineRule="exact"/>
        <w:ind w:firstLine="640" w:firstLineChars="200"/>
        <w:rPr>
          <w:rFonts w:ascii="宋体" w:hAnsi="宋体" w:eastAsia="方正黑体简体"/>
          <w:sz w:val="32"/>
          <w:szCs w:val="32"/>
        </w:rPr>
      </w:pPr>
      <w:r>
        <w:rPr>
          <w:rFonts w:ascii="宋体" w:hAnsi="宋体" w:eastAsia="方正黑体简体"/>
          <w:sz w:val="32"/>
          <w:szCs w:val="32"/>
        </w:rPr>
        <w:t>一、项目基本情况</w:t>
      </w:r>
    </w:p>
    <w:p w14:paraId="78002A71">
      <w:pPr>
        <w:pStyle w:val="2"/>
        <w:spacing w:line="600" w:lineRule="exact"/>
        <w:ind w:firstLine="630" w:firstLineChars="196"/>
        <w:rPr>
          <w:rFonts w:ascii="宋体" w:hAnsi="宋体" w:eastAsia="方正楷体简体"/>
          <w:b/>
          <w:sz w:val="32"/>
          <w:szCs w:val="32"/>
        </w:rPr>
      </w:pPr>
      <w:r>
        <w:rPr>
          <w:rFonts w:ascii="宋体" w:hAnsi="宋体" w:eastAsia="方正楷体简体"/>
          <w:b/>
          <w:sz w:val="32"/>
          <w:szCs w:val="32"/>
        </w:rPr>
        <w:t>（一）概况</w:t>
      </w:r>
    </w:p>
    <w:p w14:paraId="5345F636">
      <w:pPr>
        <w:pStyle w:val="2"/>
        <w:spacing w:line="600" w:lineRule="exact"/>
        <w:ind w:firstLine="630" w:firstLineChars="196"/>
        <w:rPr>
          <w:rFonts w:ascii="宋体" w:hAnsi="宋体" w:eastAsia="方正仿宋简体"/>
          <w:b/>
          <w:sz w:val="32"/>
          <w:szCs w:val="32"/>
        </w:rPr>
      </w:pPr>
      <w:r>
        <w:rPr>
          <w:rFonts w:ascii="宋体" w:hAnsi="宋体" w:eastAsia="方正仿宋简体"/>
          <w:b/>
          <w:sz w:val="32"/>
          <w:szCs w:val="32"/>
        </w:rPr>
        <w:t>1．立项背景及目的</w:t>
      </w:r>
    </w:p>
    <w:p w14:paraId="65898A4C">
      <w:pPr>
        <w:adjustRightInd w:val="0"/>
        <w:snapToGrid w:val="0"/>
        <w:spacing w:line="570" w:lineRule="exact"/>
        <w:ind w:firstLine="660" w:firstLineChars="200"/>
        <w:rPr>
          <w:rFonts w:ascii="宋体" w:hAnsi="宋体" w:eastAsia="方正仿宋_GBK" w:cs="方正仿宋_GBK"/>
          <w:sz w:val="33"/>
          <w:szCs w:val="33"/>
        </w:rPr>
      </w:pPr>
      <w:r>
        <w:rPr>
          <w:rFonts w:hint="eastAsia" w:ascii="宋体" w:hAnsi="宋体" w:eastAsia="方正仿宋_GBK" w:cs="方正仿宋_GBK"/>
          <w:sz w:val="33"/>
          <w:szCs w:val="33"/>
        </w:rPr>
        <w:t>政法委所属特种专业技术用车已使用长达10年，车况整体较差、频发故障，导致维修费用支出特别大，存在较大的安全隐患。为确保公务出行安全，根据《资阳市党政机关公务用车管理实施细则》相关要求，委机关办公室于2022年底把更新购置公务车辆费用纳入了2023年财政预算项目编报并获得财政局批准。</w:t>
      </w:r>
    </w:p>
    <w:p w14:paraId="16F501E5">
      <w:pPr>
        <w:pStyle w:val="2"/>
        <w:numPr>
          <w:ilvl w:val="0"/>
          <w:numId w:val="0"/>
        </w:numPr>
        <w:spacing w:line="600" w:lineRule="exact"/>
        <w:ind w:firstLine="643" w:firstLineChars="200"/>
        <w:rPr>
          <w:rFonts w:ascii="宋体" w:hAnsi="宋体" w:eastAsia="方正仿宋简体"/>
          <w:b/>
          <w:sz w:val="32"/>
          <w:szCs w:val="32"/>
        </w:rPr>
      </w:pPr>
      <w:r>
        <w:rPr>
          <w:rFonts w:hint="eastAsia" w:ascii="宋体" w:hAnsi="宋体" w:eastAsia="方正仿宋简体"/>
          <w:b/>
          <w:sz w:val="32"/>
          <w:szCs w:val="32"/>
          <w:lang w:val="en-US" w:eastAsia="zh-CN"/>
        </w:rPr>
        <w:t>2.</w:t>
      </w:r>
      <w:r>
        <w:rPr>
          <w:rFonts w:ascii="宋体" w:hAnsi="宋体" w:eastAsia="方正仿宋简体"/>
          <w:b/>
          <w:sz w:val="32"/>
          <w:szCs w:val="32"/>
        </w:rPr>
        <w:t>预算资金来源及使用情况</w:t>
      </w:r>
    </w:p>
    <w:p w14:paraId="05BA816A">
      <w:pPr>
        <w:adjustRightInd w:val="0"/>
        <w:snapToGrid w:val="0"/>
        <w:spacing w:line="57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2023年安排特种作业车辆购置18万元，全部为财政拨款，项目资金到位率100%，实际支出17.75万元。</w:t>
      </w:r>
    </w:p>
    <w:p w14:paraId="798CC9DA">
      <w:pPr>
        <w:pStyle w:val="2"/>
        <w:numPr>
          <w:ilvl w:val="0"/>
          <w:numId w:val="0"/>
        </w:numPr>
        <w:spacing w:line="600" w:lineRule="exact"/>
        <w:ind w:firstLine="643" w:firstLineChars="200"/>
        <w:rPr>
          <w:rFonts w:ascii="宋体" w:hAnsi="宋体" w:eastAsia="方正仿宋简体"/>
          <w:b/>
          <w:sz w:val="32"/>
          <w:szCs w:val="32"/>
        </w:rPr>
      </w:pPr>
      <w:r>
        <w:rPr>
          <w:rFonts w:hint="eastAsia" w:ascii="宋体" w:hAnsi="宋体" w:eastAsia="方正仿宋简体"/>
          <w:b/>
          <w:sz w:val="32"/>
          <w:szCs w:val="32"/>
          <w:lang w:val="en-US" w:eastAsia="zh-CN"/>
        </w:rPr>
        <w:t>3.</w:t>
      </w:r>
      <w:r>
        <w:rPr>
          <w:rFonts w:ascii="宋体" w:hAnsi="宋体" w:eastAsia="方正仿宋简体"/>
          <w:b/>
          <w:sz w:val="32"/>
          <w:szCs w:val="32"/>
        </w:rPr>
        <w:t>实施情况（项目完成情况）</w:t>
      </w:r>
    </w:p>
    <w:p w14:paraId="705052C8">
      <w:pPr>
        <w:adjustRightInd w:val="0"/>
        <w:snapToGrid w:val="0"/>
        <w:spacing w:line="570" w:lineRule="exact"/>
        <w:ind w:firstLine="660" w:firstLineChars="200"/>
        <w:rPr>
          <w:rFonts w:ascii="宋体" w:hAnsi="宋体" w:eastAsia="方正仿宋_GBK" w:cs="方正仿宋_GBK"/>
          <w:sz w:val="33"/>
          <w:szCs w:val="33"/>
        </w:rPr>
      </w:pPr>
      <w:r>
        <w:rPr>
          <w:rFonts w:hint="eastAsia" w:ascii="宋体" w:hAnsi="宋体" w:eastAsia="方正仿宋_GBK" w:cs="方正仿宋_GBK"/>
          <w:sz w:val="33"/>
          <w:szCs w:val="33"/>
        </w:rPr>
        <w:t>2023年7月27日收到市财政局《关于同意中共资阳市委政法委员会更新购置1辆特种专业技术用车的复函》（〔2023〕-241）；2023年5月22日收到市机关事务管理局《关于市委政法委申请处置公务用车的复函》（资机管函〔2023〕44号），同意特种专业技术用车交由其统一处置；2023年9月，委机关办公室按程序开展特种专业技术用车公开采购工作，于2023年10月上旬完成车辆采购。</w:t>
      </w:r>
    </w:p>
    <w:p w14:paraId="1E787757">
      <w:pPr>
        <w:pStyle w:val="2"/>
        <w:numPr>
          <w:ilvl w:val="0"/>
          <w:numId w:val="0"/>
        </w:numPr>
        <w:spacing w:line="600" w:lineRule="exact"/>
        <w:ind w:firstLine="643" w:firstLineChars="200"/>
        <w:rPr>
          <w:rFonts w:ascii="宋体" w:hAnsi="宋体" w:eastAsia="方正仿宋简体"/>
          <w:b/>
          <w:sz w:val="32"/>
          <w:szCs w:val="32"/>
        </w:rPr>
      </w:pPr>
      <w:r>
        <w:rPr>
          <w:rFonts w:hint="eastAsia" w:ascii="宋体" w:hAnsi="宋体" w:eastAsia="方正仿宋简体"/>
          <w:b/>
          <w:sz w:val="32"/>
          <w:szCs w:val="32"/>
          <w:lang w:val="en-US" w:eastAsia="zh-CN"/>
        </w:rPr>
        <w:t>4.</w:t>
      </w:r>
      <w:r>
        <w:rPr>
          <w:rFonts w:ascii="宋体" w:hAnsi="宋体" w:eastAsia="方正仿宋简体"/>
          <w:b/>
          <w:sz w:val="32"/>
          <w:szCs w:val="32"/>
        </w:rPr>
        <w:t>组织及管理（项目组织、管理流程及实际执行情况）</w:t>
      </w:r>
    </w:p>
    <w:p w14:paraId="2831FF91">
      <w:pPr>
        <w:spacing w:line="600" w:lineRule="exact"/>
        <w:ind w:firstLine="640" w:firstLineChars="200"/>
        <w:rPr>
          <w:rFonts w:ascii="宋体" w:hAnsi="宋体" w:eastAsia="方正仿宋简体"/>
          <w:sz w:val="32"/>
          <w:szCs w:val="32"/>
        </w:rPr>
      </w:pPr>
      <w:r>
        <w:rPr>
          <w:rFonts w:hint="eastAsia" w:ascii="宋体" w:hAnsi="宋体" w:eastAsia="方正仿宋简体"/>
          <w:sz w:val="32"/>
          <w:szCs w:val="32"/>
        </w:rPr>
        <w:t>（1）</w:t>
      </w:r>
      <w:r>
        <w:rPr>
          <w:rFonts w:ascii="宋体" w:hAnsi="宋体" w:eastAsia="方正仿宋简体"/>
          <w:sz w:val="32"/>
          <w:szCs w:val="32"/>
        </w:rPr>
        <w:t>项目管理情况</w:t>
      </w:r>
    </w:p>
    <w:p w14:paraId="71592A20">
      <w:pPr>
        <w:spacing w:line="600" w:lineRule="exact"/>
        <w:ind w:firstLine="640" w:firstLineChars="200"/>
        <w:rPr>
          <w:rFonts w:ascii="宋体" w:hAnsi="宋体" w:eastAsia="方正仿宋简体"/>
          <w:sz w:val="32"/>
          <w:szCs w:val="32"/>
        </w:rPr>
      </w:pPr>
      <w:r>
        <w:rPr>
          <w:rFonts w:ascii="宋体" w:hAnsi="宋体" w:eastAsia="方正仿宋简体"/>
          <w:sz w:val="32"/>
          <w:szCs w:val="32"/>
        </w:rPr>
        <w:t>按工作要求，市委政法委按规定及时向财政申请通过后，安排相关资金，用于</w:t>
      </w:r>
      <w:r>
        <w:rPr>
          <w:rFonts w:hint="eastAsia" w:ascii="宋体" w:hAnsi="宋体" w:eastAsia="方正仿宋简体"/>
          <w:sz w:val="32"/>
          <w:szCs w:val="32"/>
        </w:rPr>
        <w:t>特种作业车辆购置</w:t>
      </w:r>
      <w:r>
        <w:rPr>
          <w:rFonts w:ascii="宋体" w:hAnsi="宋体" w:eastAsia="方正仿宋简体"/>
          <w:sz w:val="32"/>
          <w:szCs w:val="32"/>
        </w:rPr>
        <w:t>支出，使用过程中严格按照规定、科学合规合法使用该项经费。</w:t>
      </w:r>
    </w:p>
    <w:p w14:paraId="207B5A5A">
      <w:pPr>
        <w:spacing w:line="600" w:lineRule="exact"/>
        <w:ind w:firstLine="640" w:firstLineChars="200"/>
        <w:rPr>
          <w:rFonts w:ascii="宋体" w:hAnsi="宋体" w:eastAsia="方正仿宋简体"/>
          <w:sz w:val="32"/>
          <w:szCs w:val="32"/>
        </w:rPr>
      </w:pPr>
      <w:r>
        <w:rPr>
          <w:rFonts w:ascii="宋体" w:hAnsi="宋体" w:eastAsia="方正仿宋简体"/>
          <w:sz w:val="32"/>
          <w:szCs w:val="32"/>
        </w:rPr>
        <w:t>（</w:t>
      </w:r>
      <w:r>
        <w:rPr>
          <w:rFonts w:hint="eastAsia" w:ascii="宋体" w:hAnsi="宋体" w:eastAsia="方正仿宋简体"/>
          <w:sz w:val="32"/>
          <w:szCs w:val="32"/>
        </w:rPr>
        <w:t>2</w:t>
      </w:r>
      <w:r>
        <w:rPr>
          <w:rFonts w:ascii="宋体" w:hAnsi="宋体" w:eastAsia="方正仿宋简体"/>
          <w:sz w:val="32"/>
          <w:szCs w:val="32"/>
        </w:rPr>
        <w:t>）项目组织实施市级情况与目标的差异情况说明</w:t>
      </w:r>
    </w:p>
    <w:p w14:paraId="5DB51C2E">
      <w:pPr>
        <w:spacing w:line="600" w:lineRule="exact"/>
        <w:ind w:firstLine="640" w:firstLineChars="200"/>
        <w:rPr>
          <w:rFonts w:hint="eastAsia" w:ascii="宋体" w:hAnsi="宋体" w:eastAsia="方正仿宋简体"/>
          <w:sz w:val="32"/>
          <w:szCs w:val="32"/>
        </w:rPr>
      </w:pPr>
      <w:r>
        <w:rPr>
          <w:rFonts w:ascii="宋体" w:hAnsi="宋体" w:eastAsia="方正仿宋简体"/>
          <w:sz w:val="32"/>
          <w:szCs w:val="32"/>
        </w:rPr>
        <w:t>项目组织实施与预算相符，切实落实厉行节约、反对奢侈浪费要求。做到专款专用，资金支付依据和开支标准符合规定。</w:t>
      </w:r>
    </w:p>
    <w:p w14:paraId="3F291ACB">
      <w:pPr>
        <w:pStyle w:val="2"/>
        <w:numPr>
          <w:ilvl w:val="0"/>
          <w:numId w:val="2"/>
        </w:numPr>
        <w:spacing w:line="600" w:lineRule="exact"/>
        <w:ind w:firstLine="630" w:firstLineChars="196"/>
        <w:rPr>
          <w:rFonts w:ascii="宋体" w:hAnsi="宋体" w:eastAsia="方正楷体简体"/>
          <w:b/>
          <w:sz w:val="32"/>
          <w:szCs w:val="32"/>
        </w:rPr>
      </w:pPr>
      <w:r>
        <w:rPr>
          <w:rFonts w:ascii="宋体" w:hAnsi="宋体" w:eastAsia="方正楷体简体"/>
          <w:b/>
          <w:sz w:val="32"/>
          <w:szCs w:val="32"/>
        </w:rPr>
        <w:t>绩效目标</w:t>
      </w:r>
    </w:p>
    <w:p w14:paraId="028DAAEB">
      <w:pPr>
        <w:pStyle w:val="2"/>
        <w:spacing w:line="600" w:lineRule="exact"/>
        <w:ind w:firstLine="640" w:firstLineChars="200"/>
        <w:rPr>
          <w:rFonts w:ascii="宋体" w:hAnsi="宋体" w:eastAsia="方正仿宋简体"/>
          <w:sz w:val="32"/>
          <w:szCs w:val="32"/>
          <w:lang w:val="en-US" w:eastAsia="zh-CN"/>
        </w:rPr>
      </w:pPr>
      <w:r>
        <w:rPr>
          <w:rFonts w:hint="eastAsia" w:ascii="宋体" w:hAnsi="宋体" w:eastAsia="方正仿宋简体"/>
          <w:sz w:val="32"/>
          <w:szCs w:val="32"/>
          <w:lang w:val="en-US" w:eastAsia="zh-CN"/>
        </w:rPr>
        <w:t>2023年，我单位因工作需要购置特种作业车辆1辆，用于保障部门正常运转。均在时效内完成了预定绩效目标。相关支出不超预算，受益对象满意率≥95%。</w:t>
      </w:r>
    </w:p>
    <w:p w14:paraId="41BBE5FE">
      <w:pPr>
        <w:pStyle w:val="2"/>
        <w:spacing w:line="600" w:lineRule="exact"/>
        <w:ind w:firstLine="627" w:firstLineChars="196"/>
        <w:rPr>
          <w:rFonts w:ascii="宋体" w:hAnsi="宋体" w:eastAsia="方正黑体简体"/>
          <w:sz w:val="32"/>
          <w:szCs w:val="32"/>
        </w:rPr>
      </w:pPr>
      <w:r>
        <w:rPr>
          <w:rFonts w:ascii="宋体" w:hAnsi="宋体" w:eastAsia="方正黑体简体"/>
          <w:sz w:val="32"/>
          <w:szCs w:val="32"/>
        </w:rPr>
        <w:t>二、绩效自评工作情况</w:t>
      </w:r>
    </w:p>
    <w:p w14:paraId="0BBDC4B8">
      <w:pPr>
        <w:pStyle w:val="2"/>
        <w:spacing w:line="600" w:lineRule="exact"/>
        <w:ind w:firstLine="630" w:firstLineChars="196"/>
        <w:rPr>
          <w:rFonts w:ascii="宋体" w:hAnsi="宋体" w:eastAsia="方正楷体简体"/>
          <w:b/>
          <w:sz w:val="32"/>
          <w:szCs w:val="32"/>
        </w:rPr>
      </w:pPr>
      <w:r>
        <w:rPr>
          <w:rFonts w:ascii="宋体" w:hAnsi="宋体" w:eastAsia="方正楷体简体"/>
          <w:b/>
          <w:sz w:val="32"/>
          <w:szCs w:val="32"/>
        </w:rPr>
        <w:t>（一）自评工作组织领导</w:t>
      </w:r>
    </w:p>
    <w:p w14:paraId="634A3629">
      <w:pPr>
        <w:spacing w:line="600" w:lineRule="exact"/>
        <w:ind w:firstLine="660" w:firstLineChars="200"/>
        <w:rPr>
          <w:rFonts w:hint="eastAsia" w:ascii="宋体" w:hAnsi="宋体" w:eastAsia="FangSong_GB2312" w:cs="FangSong_GB2312"/>
          <w:sz w:val="33"/>
          <w:szCs w:val="33"/>
        </w:rPr>
      </w:pPr>
      <w:r>
        <w:rPr>
          <w:rFonts w:hint="eastAsia" w:ascii="宋体" w:hAnsi="宋体" w:eastAsia="FangSong_GB2312" w:cs="FangSong_GB2312"/>
          <w:sz w:val="33"/>
          <w:szCs w:val="33"/>
        </w:rPr>
        <w:t>单位有专（兼）职人员负责绩效考核工作。</w:t>
      </w:r>
    </w:p>
    <w:p w14:paraId="2B222931">
      <w:pPr>
        <w:pStyle w:val="2"/>
        <w:spacing w:line="600" w:lineRule="exact"/>
        <w:ind w:firstLine="630" w:firstLineChars="196"/>
        <w:rPr>
          <w:rFonts w:ascii="宋体" w:hAnsi="宋体" w:eastAsia="方正楷体简体"/>
          <w:b/>
          <w:sz w:val="32"/>
          <w:szCs w:val="32"/>
        </w:rPr>
      </w:pPr>
      <w:r>
        <w:rPr>
          <w:rFonts w:ascii="宋体" w:hAnsi="宋体" w:eastAsia="方正楷体简体"/>
          <w:b/>
          <w:sz w:val="32"/>
          <w:szCs w:val="32"/>
        </w:rPr>
        <w:t>（二）自评方式、方法、重点等</w:t>
      </w:r>
    </w:p>
    <w:p w14:paraId="65BD14A9">
      <w:pPr>
        <w:adjustRightInd w:val="0"/>
        <w:snapToGrid w:val="0"/>
        <w:spacing w:line="57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评价工作分为准备阶段、实施阶段和撰写阶段，在准备阶段，我单位首先确定了绩效评价对象，制定绩效评价工作方案；在实施阶段，建立了科学、规划的绩效考核指标体系，制定了明确、合理的财政支出绩效目标，认真收集和审查核实绩效评价相关资料，对绩效目标的实现程度户效果实施了考核与评价；在撰写阶段，综合分析并形成评价结论，运用考评结果提高预算编制、执行和管理水平，建立健全绩效评价档案。</w:t>
      </w:r>
    </w:p>
    <w:p w14:paraId="309AF123">
      <w:pPr>
        <w:pStyle w:val="2"/>
        <w:spacing w:line="600" w:lineRule="exact"/>
        <w:ind w:firstLine="627" w:firstLineChars="196"/>
        <w:rPr>
          <w:rFonts w:ascii="宋体" w:hAnsi="宋体" w:eastAsia="方正黑体简体"/>
          <w:sz w:val="32"/>
          <w:szCs w:val="32"/>
        </w:rPr>
      </w:pPr>
      <w:r>
        <w:rPr>
          <w:rFonts w:ascii="宋体" w:hAnsi="宋体" w:eastAsia="方正黑体简体"/>
          <w:sz w:val="32"/>
          <w:szCs w:val="32"/>
        </w:rPr>
        <w:t>三、评价结论</w:t>
      </w:r>
    </w:p>
    <w:p w14:paraId="1854D036">
      <w:pPr>
        <w:adjustRightInd w:val="0"/>
        <w:snapToGrid w:val="0"/>
        <w:spacing w:line="570" w:lineRule="exact"/>
        <w:ind w:firstLine="660" w:firstLineChars="200"/>
        <w:rPr>
          <w:rFonts w:hint="eastAsia" w:ascii="宋体" w:hAnsi="宋体" w:eastAsia="方正仿宋_GBK" w:cs="方正仿宋_GBK"/>
          <w:sz w:val="33"/>
          <w:szCs w:val="33"/>
        </w:rPr>
      </w:pPr>
      <w:r>
        <w:rPr>
          <w:rFonts w:hint="eastAsia" w:ascii="宋体" w:hAnsi="宋体" w:eastAsia="方正仿宋_GBK" w:cs="方正仿宋_GBK"/>
          <w:sz w:val="33"/>
          <w:szCs w:val="33"/>
        </w:rPr>
        <w:t>根据预算绩效管理工作要求对2023年项目支出绩效管理工作进行了自评考核，按照综合评分结果，依据财监督〔2020〕1号规定评价等级为优，本次自评得分100分。</w:t>
      </w:r>
    </w:p>
    <w:p w14:paraId="5134217B">
      <w:pPr>
        <w:pStyle w:val="2"/>
        <w:spacing w:line="600" w:lineRule="exact"/>
        <w:ind w:firstLine="627" w:firstLineChars="196"/>
        <w:rPr>
          <w:rFonts w:ascii="宋体" w:hAnsi="宋体" w:eastAsia="方正黑体简体"/>
          <w:sz w:val="32"/>
          <w:szCs w:val="32"/>
        </w:rPr>
      </w:pPr>
      <w:r>
        <w:rPr>
          <w:rFonts w:ascii="宋体" w:hAnsi="宋体" w:eastAsia="方正黑体简体"/>
          <w:sz w:val="32"/>
          <w:szCs w:val="32"/>
        </w:rPr>
        <w:t>四、绩效分析</w:t>
      </w:r>
    </w:p>
    <w:p w14:paraId="6CF61462">
      <w:pPr>
        <w:pStyle w:val="2"/>
        <w:spacing w:line="600" w:lineRule="exact"/>
        <w:ind w:firstLine="627" w:firstLineChars="196"/>
        <w:rPr>
          <w:rFonts w:ascii="宋体" w:hAnsi="宋体" w:eastAsia="方正仿宋简体"/>
          <w:sz w:val="32"/>
          <w:szCs w:val="32"/>
        </w:rPr>
      </w:pPr>
      <w:r>
        <w:rPr>
          <w:rFonts w:hint="eastAsia" w:ascii="宋体" w:hAnsi="宋体" w:eastAsia="方正仿宋简体"/>
          <w:sz w:val="32"/>
          <w:szCs w:val="32"/>
          <w:lang w:eastAsia="zh-CN"/>
        </w:rPr>
        <w:t>项目</w:t>
      </w:r>
      <w:r>
        <w:rPr>
          <w:rFonts w:hint="eastAsia" w:ascii="宋体" w:hAnsi="宋体" w:eastAsia="方正仿宋简体"/>
          <w:sz w:val="32"/>
          <w:szCs w:val="32"/>
        </w:rPr>
        <w:t>支出绩效评价的评分依据、</w:t>
      </w:r>
      <w:r>
        <w:rPr>
          <w:rFonts w:hint="eastAsia" w:ascii="宋体" w:hAnsi="宋体" w:eastAsia="方正仿宋简体"/>
          <w:sz w:val="32"/>
          <w:szCs w:val="32"/>
          <w:lang w:eastAsia="zh-CN"/>
        </w:rPr>
        <w:t>得分情况、</w:t>
      </w:r>
      <w:r>
        <w:rPr>
          <w:rFonts w:hint="eastAsia" w:ascii="宋体" w:hAnsi="宋体" w:eastAsia="方正仿宋简体"/>
          <w:sz w:val="32"/>
          <w:szCs w:val="32"/>
        </w:rPr>
        <w:t>扣分原因分析等见《20</w:t>
      </w:r>
      <w:r>
        <w:rPr>
          <w:rFonts w:hint="eastAsia" w:ascii="宋体" w:hAnsi="宋体" w:eastAsia="方正仿宋简体"/>
          <w:sz w:val="32"/>
          <w:szCs w:val="32"/>
          <w:lang w:val="en-US" w:eastAsia="zh-CN"/>
        </w:rPr>
        <w:t>23</w:t>
      </w:r>
      <w:r>
        <w:rPr>
          <w:rFonts w:hint="eastAsia" w:ascii="宋体" w:hAnsi="宋体" w:eastAsia="方正仿宋简体"/>
          <w:sz w:val="32"/>
          <w:szCs w:val="32"/>
        </w:rPr>
        <w:t>年度市本级</w:t>
      </w:r>
      <w:r>
        <w:rPr>
          <w:rFonts w:hint="eastAsia" w:ascii="宋体" w:hAnsi="宋体" w:eastAsia="方正仿宋简体"/>
          <w:sz w:val="32"/>
          <w:szCs w:val="32"/>
          <w:lang w:eastAsia="zh-CN"/>
        </w:rPr>
        <w:t>项目</w:t>
      </w:r>
      <w:r>
        <w:rPr>
          <w:rFonts w:hint="eastAsia" w:ascii="宋体" w:hAnsi="宋体" w:eastAsia="方正仿宋简体"/>
          <w:sz w:val="32"/>
          <w:szCs w:val="32"/>
        </w:rPr>
        <w:t>支出绩效自评计分表》（附件</w:t>
      </w:r>
      <w:r>
        <w:rPr>
          <w:rFonts w:hint="eastAsia" w:ascii="宋体" w:hAnsi="宋体" w:eastAsia="方正仿宋简体"/>
          <w:sz w:val="32"/>
          <w:szCs w:val="32"/>
          <w:lang w:val="en-US" w:eastAsia="zh-CN"/>
        </w:rPr>
        <w:t>2</w:t>
      </w:r>
      <w:r>
        <w:rPr>
          <w:rFonts w:hint="eastAsia" w:ascii="宋体" w:hAnsi="宋体" w:eastAsia="方正仿宋简体"/>
          <w:sz w:val="32"/>
          <w:szCs w:val="32"/>
        </w:rPr>
        <w:t>-1）</w:t>
      </w:r>
      <w:r>
        <w:rPr>
          <w:rFonts w:ascii="宋体" w:hAnsi="宋体" w:eastAsia="方正仿宋简体"/>
          <w:sz w:val="32"/>
          <w:szCs w:val="32"/>
        </w:rPr>
        <w:t>。</w:t>
      </w:r>
    </w:p>
    <w:p w14:paraId="74975F8A">
      <w:pPr>
        <w:spacing w:line="600" w:lineRule="exact"/>
        <w:ind w:firstLine="643" w:firstLineChars="200"/>
        <w:rPr>
          <w:rFonts w:ascii="宋体" w:hAnsi="宋体" w:eastAsia="方正仿宋简体"/>
          <w:b/>
          <w:color w:val="000000"/>
          <w:kern w:val="0"/>
          <w:sz w:val="32"/>
          <w:szCs w:val="32"/>
        </w:rPr>
      </w:pPr>
      <w:r>
        <w:rPr>
          <w:rFonts w:hint="eastAsia" w:ascii="宋体" w:hAnsi="宋体" w:eastAsia="方正仿宋简体"/>
          <w:b/>
          <w:color w:val="000000"/>
          <w:kern w:val="0"/>
          <w:sz w:val="32"/>
          <w:szCs w:val="32"/>
        </w:rPr>
        <w:t>1.投入指标分析</w:t>
      </w:r>
      <w:r>
        <w:rPr>
          <w:rFonts w:ascii="宋体" w:hAnsi="宋体" w:eastAsia="方正仿宋简体"/>
          <w:color w:val="000000"/>
          <w:kern w:val="0"/>
          <w:sz w:val="32"/>
          <w:szCs w:val="32"/>
        </w:rPr>
        <w:t>（总分25分，得分25分）</w:t>
      </w:r>
    </w:p>
    <w:p w14:paraId="274868CD">
      <w:pPr>
        <w:spacing w:line="600" w:lineRule="exact"/>
        <w:ind w:firstLine="643" w:firstLineChars="200"/>
        <w:rPr>
          <w:rFonts w:ascii="宋体" w:hAnsi="宋体" w:eastAsia="方正仿宋简体"/>
          <w:b/>
          <w:color w:val="000000"/>
          <w:kern w:val="0"/>
          <w:sz w:val="32"/>
          <w:szCs w:val="32"/>
        </w:rPr>
      </w:pPr>
      <w:r>
        <w:rPr>
          <w:rFonts w:hint="eastAsia" w:ascii="宋体" w:hAnsi="宋体" w:eastAsia="方正仿宋简体"/>
          <w:b/>
          <w:color w:val="000000"/>
          <w:kern w:val="0"/>
          <w:sz w:val="32"/>
          <w:szCs w:val="32"/>
        </w:rPr>
        <w:t>（1）项目立项</w:t>
      </w:r>
    </w:p>
    <w:p w14:paraId="493270B2">
      <w:pPr>
        <w:spacing w:line="600" w:lineRule="exact"/>
        <w:ind w:firstLine="640" w:firstLineChars="200"/>
        <w:rPr>
          <w:rFonts w:hint="eastAsia" w:ascii="宋体" w:hAnsi="宋体" w:eastAsia="方正仿宋简体"/>
          <w:color w:val="000000"/>
          <w:sz w:val="32"/>
          <w:szCs w:val="32"/>
        </w:rPr>
      </w:pPr>
      <w:r>
        <w:rPr>
          <w:rFonts w:hint="eastAsia" w:ascii="宋体" w:hAnsi="宋体" w:eastAsia="方正仿宋简体"/>
          <w:color w:val="000000"/>
          <w:kern w:val="0"/>
          <w:sz w:val="32"/>
          <w:szCs w:val="32"/>
        </w:rPr>
        <w:t>本单位项目立项规范，项目按规定程序申请、设立，提交的文件、资料符合相关要求；绩效目标合理，项目设定的绩效目标符合国家法律</w:t>
      </w:r>
      <w:r>
        <w:rPr>
          <w:rFonts w:ascii="宋体" w:hAnsi="宋体" w:eastAsia="方正仿宋简体"/>
          <w:color w:val="000000"/>
          <w:kern w:val="0"/>
          <w:sz w:val="32"/>
          <w:szCs w:val="32"/>
        </w:rPr>
        <w:t>法规、国民经济和社会发展总体规划</w:t>
      </w:r>
      <w:r>
        <w:rPr>
          <w:rFonts w:hint="eastAsia" w:ascii="宋体" w:hAnsi="宋体" w:eastAsia="方正仿宋简体"/>
          <w:color w:val="000000"/>
          <w:kern w:val="0"/>
          <w:sz w:val="32"/>
          <w:szCs w:val="32"/>
        </w:rPr>
        <w:t>，依据充分，符合客观实际；绩效目标明确，</w:t>
      </w:r>
      <w:r>
        <w:rPr>
          <w:rFonts w:hint="eastAsia" w:ascii="宋体" w:hAnsi="宋体" w:eastAsia="方正仿宋简体"/>
          <w:color w:val="000000"/>
          <w:sz w:val="32"/>
          <w:szCs w:val="32"/>
        </w:rPr>
        <w:t>设定</w:t>
      </w:r>
      <w:r>
        <w:rPr>
          <w:rFonts w:ascii="宋体" w:hAnsi="宋体" w:eastAsia="方正仿宋简体"/>
          <w:color w:val="000000"/>
          <w:sz w:val="32"/>
          <w:szCs w:val="32"/>
        </w:rPr>
        <w:t>的绩效指标清晰</w:t>
      </w:r>
      <w:r>
        <w:rPr>
          <w:rFonts w:hint="eastAsia" w:ascii="宋体" w:hAnsi="宋体" w:eastAsia="方正仿宋简体"/>
          <w:color w:val="000000"/>
          <w:sz w:val="32"/>
          <w:szCs w:val="32"/>
        </w:rPr>
        <w:t>、</w:t>
      </w:r>
      <w:r>
        <w:rPr>
          <w:rFonts w:ascii="宋体" w:hAnsi="宋体" w:eastAsia="方正仿宋简体"/>
          <w:color w:val="000000"/>
          <w:sz w:val="32"/>
          <w:szCs w:val="32"/>
        </w:rPr>
        <w:t>具体</w:t>
      </w:r>
      <w:r>
        <w:rPr>
          <w:rFonts w:hint="eastAsia" w:ascii="宋体" w:hAnsi="宋体" w:eastAsia="方正仿宋简体"/>
          <w:color w:val="000000"/>
          <w:sz w:val="32"/>
          <w:szCs w:val="32"/>
        </w:rPr>
        <w:t>，</w:t>
      </w:r>
      <w:r>
        <w:rPr>
          <w:rFonts w:ascii="宋体" w:hAnsi="宋体" w:eastAsia="方正仿宋简体"/>
          <w:color w:val="000000"/>
          <w:sz w:val="32"/>
          <w:szCs w:val="32"/>
        </w:rPr>
        <w:t>具有</w:t>
      </w:r>
      <w:r>
        <w:rPr>
          <w:rFonts w:hint="eastAsia" w:ascii="宋体" w:hAnsi="宋体" w:eastAsia="方正仿宋简体"/>
          <w:color w:val="000000"/>
          <w:sz w:val="32"/>
          <w:szCs w:val="32"/>
        </w:rPr>
        <w:t>指导性</w:t>
      </w:r>
      <w:r>
        <w:rPr>
          <w:rFonts w:ascii="宋体" w:hAnsi="宋体" w:eastAsia="方正仿宋简体"/>
          <w:color w:val="000000"/>
          <w:sz w:val="32"/>
          <w:szCs w:val="32"/>
        </w:rPr>
        <w:t>和可衡量</w:t>
      </w:r>
      <w:r>
        <w:rPr>
          <w:rFonts w:hint="eastAsia" w:ascii="宋体" w:hAnsi="宋体" w:eastAsia="方正仿宋简体"/>
          <w:color w:val="000000"/>
          <w:sz w:val="32"/>
          <w:szCs w:val="32"/>
        </w:rPr>
        <w:t>性。</w:t>
      </w:r>
    </w:p>
    <w:p w14:paraId="7BF83753">
      <w:pPr>
        <w:spacing w:line="600" w:lineRule="exact"/>
        <w:ind w:firstLine="643" w:firstLineChars="200"/>
        <w:rPr>
          <w:rFonts w:ascii="宋体" w:hAnsi="宋体" w:eastAsia="方正仿宋简体"/>
          <w:b/>
          <w:color w:val="000000"/>
          <w:sz w:val="32"/>
          <w:szCs w:val="32"/>
        </w:rPr>
      </w:pPr>
      <w:r>
        <w:rPr>
          <w:rFonts w:hint="eastAsia" w:ascii="宋体" w:hAnsi="宋体" w:eastAsia="方正仿宋简体"/>
          <w:b/>
          <w:color w:val="000000"/>
          <w:sz w:val="32"/>
          <w:szCs w:val="32"/>
        </w:rPr>
        <w:t>（2）资金落实</w:t>
      </w:r>
    </w:p>
    <w:p w14:paraId="2124A4AE">
      <w:pPr>
        <w:spacing w:line="600" w:lineRule="exact"/>
        <w:ind w:firstLine="640" w:firstLineChars="200"/>
        <w:rPr>
          <w:rFonts w:ascii="宋体" w:hAnsi="宋体" w:eastAsia="方正仿宋简体"/>
          <w:color w:val="000000"/>
          <w:kern w:val="0"/>
          <w:sz w:val="32"/>
          <w:szCs w:val="32"/>
        </w:rPr>
      </w:pPr>
      <w:r>
        <w:rPr>
          <w:rFonts w:ascii="宋体" w:hAnsi="宋体" w:eastAsia="方正仿宋简体"/>
          <w:color w:val="000000"/>
          <w:kern w:val="0"/>
          <w:sz w:val="32"/>
          <w:szCs w:val="32"/>
        </w:rPr>
        <w:t>202</w:t>
      </w:r>
      <w:r>
        <w:rPr>
          <w:rFonts w:hint="eastAsia" w:ascii="宋体" w:hAnsi="宋体" w:eastAsia="方正仿宋简体"/>
          <w:color w:val="000000"/>
          <w:kern w:val="0"/>
          <w:sz w:val="32"/>
          <w:szCs w:val="32"/>
        </w:rPr>
        <w:t>3</w:t>
      </w:r>
      <w:r>
        <w:rPr>
          <w:rFonts w:ascii="宋体" w:hAnsi="宋体" w:eastAsia="方正仿宋简体"/>
          <w:color w:val="000000"/>
          <w:kern w:val="0"/>
          <w:sz w:val="32"/>
          <w:szCs w:val="32"/>
        </w:rPr>
        <w:t>年财政预算安排</w:t>
      </w:r>
      <w:r>
        <w:rPr>
          <w:rFonts w:hint="eastAsia" w:ascii="宋体" w:hAnsi="宋体" w:eastAsia="方正仿宋简体"/>
          <w:color w:val="000000"/>
          <w:kern w:val="0"/>
          <w:sz w:val="32"/>
          <w:szCs w:val="32"/>
        </w:rPr>
        <w:t>特种作业车辆购置18</w:t>
      </w:r>
      <w:r>
        <w:rPr>
          <w:rFonts w:ascii="宋体" w:hAnsi="宋体" w:eastAsia="方正仿宋简体"/>
          <w:color w:val="000000"/>
          <w:kern w:val="0"/>
          <w:sz w:val="32"/>
          <w:szCs w:val="32"/>
        </w:rPr>
        <w:t>万元，资金实际到位</w:t>
      </w:r>
      <w:r>
        <w:rPr>
          <w:rFonts w:hint="eastAsia" w:ascii="宋体" w:hAnsi="宋体" w:eastAsia="方正仿宋简体"/>
          <w:color w:val="000000"/>
          <w:kern w:val="0"/>
          <w:sz w:val="32"/>
          <w:szCs w:val="32"/>
        </w:rPr>
        <w:t>18</w:t>
      </w:r>
      <w:r>
        <w:rPr>
          <w:rFonts w:ascii="宋体" w:hAnsi="宋体" w:eastAsia="方正仿宋简体"/>
          <w:color w:val="000000"/>
          <w:kern w:val="0"/>
          <w:sz w:val="32"/>
          <w:szCs w:val="32"/>
        </w:rPr>
        <w:t>万元，资金到位率100%；到位及时率100%。</w:t>
      </w:r>
    </w:p>
    <w:p w14:paraId="32C2F6DB">
      <w:pPr>
        <w:spacing w:line="600" w:lineRule="exact"/>
        <w:ind w:firstLine="643" w:firstLineChars="200"/>
        <w:rPr>
          <w:rFonts w:ascii="宋体" w:hAnsi="宋体" w:eastAsia="方正仿宋简体"/>
          <w:b/>
          <w:color w:val="000000"/>
          <w:kern w:val="0"/>
          <w:sz w:val="32"/>
          <w:szCs w:val="32"/>
        </w:rPr>
      </w:pPr>
      <w:r>
        <w:rPr>
          <w:rFonts w:hint="eastAsia" w:ascii="宋体" w:hAnsi="宋体" w:eastAsia="方正仿宋简体"/>
          <w:b/>
          <w:color w:val="000000"/>
          <w:kern w:val="0"/>
          <w:sz w:val="32"/>
          <w:szCs w:val="32"/>
        </w:rPr>
        <w:t>2.过程指标分析</w:t>
      </w:r>
      <w:r>
        <w:rPr>
          <w:rFonts w:ascii="宋体" w:hAnsi="宋体" w:eastAsia="方正仿宋简体"/>
          <w:color w:val="000000"/>
          <w:kern w:val="0"/>
          <w:sz w:val="32"/>
          <w:szCs w:val="32"/>
        </w:rPr>
        <w:t>（总分25分，得分25分）</w:t>
      </w:r>
    </w:p>
    <w:p w14:paraId="07F048DA">
      <w:pPr>
        <w:spacing w:line="600" w:lineRule="exact"/>
        <w:ind w:firstLine="643" w:firstLineChars="200"/>
        <w:rPr>
          <w:rFonts w:hint="eastAsia" w:ascii="宋体" w:hAnsi="宋体" w:eastAsia="方正仿宋简体"/>
          <w:b/>
          <w:color w:val="000000"/>
          <w:sz w:val="32"/>
          <w:szCs w:val="32"/>
        </w:rPr>
      </w:pPr>
      <w:r>
        <w:rPr>
          <w:rFonts w:hint="eastAsia" w:ascii="宋体" w:hAnsi="宋体" w:eastAsia="方正仿宋简体"/>
          <w:b/>
          <w:color w:val="000000"/>
          <w:sz w:val="32"/>
          <w:szCs w:val="32"/>
        </w:rPr>
        <w:t>（1）业务管理</w:t>
      </w:r>
    </w:p>
    <w:p w14:paraId="4046A138">
      <w:pPr>
        <w:pStyle w:val="2"/>
        <w:spacing w:line="600" w:lineRule="exact"/>
        <w:ind w:firstLine="624"/>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本单位业务管理制度健全，合法、合规、完整；项目实施严格遵守相关法律法规和业务管理规定；项目调整及支出调整手续完备；项目合同书、验收报告、技术鉴定等资料齐全并及时归档。</w:t>
      </w:r>
    </w:p>
    <w:p w14:paraId="2780E757">
      <w:pPr>
        <w:spacing w:line="600" w:lineRule="exact"/>
        <w:ind w:firstLine="643" w:firstLineChars="200"/>
        <w:rPr>
          <w:rFonts w:hint="eastAsia" w:ascii="宋体" w:hAnsi="宋体" w:eastAsia="方正仿宋简体"/>
          <w:b/>
          <w:color w:val="000000"/>
          <w:sz w:val="32"/>
          <w:szCs w:val="32"/>
        </w:rPr>
      </w:pPr>
      <w:r>
        <w:rPr>
          <w:rFonts w:hint="eastAsia" w:ascii="宋体" w:hAnsi="宋体" w:eastAsia="方正仿宋简体"/>
          <w:b/>
          <w:color w:val="000000"/>
          <w:sz w:val="32"/>
          <w:szCs w:val="32"/>
        </w:rPr>
        <w:t>（2）财务管理</w:t>
      </w:r>
    </w:p>
    <w:p w14:paraId="0ED8626B">
      <w:pPr>
        <w:spacing w:line="600" w:lineRule="exact"/>
        <w:rPr>
          <w:rFonts w:ascii="宋体" w:hAnsi="宋体" w:eastAsia="方正仿宋简体"/>
          <w:color w:val="000000"/>
          <w:kern w:val="0"/>
          <w:sz w:val="32"/>
          <w:szCs w:val="32"/>
        </w:rPr>
      </w:pPr>
      <w:r>
        <w:rPr>
          <w:rFonts w:hint="eastAsia" w:ascii="宋体" w:hAnsi="宋体" w:eastAsia="方正仿宋简体"/>
          <w:b/>
          <w:color w:val="000000"/>
          <w:sz w:val="32"/>
          <w:szCs w:val="32"/>
        </w:rPr>
        <w:t xml:space="preserve">    </w:t>
      </w:r>
      <w:r>
        <w:rPr>
          <w:rFonts w:hint="eastAsia" w:ascii="宋体" w:hAnsi="宋体" w:eastAsia="方正仿宋简体"/>
          <w:color w:val="000000"/>
          <w:kern w:val="0"/>
          <w:sz w:val="32"/>
          <w:szCs w:val="32"/>
        </w:rPr>
        <w:t>资金使用符合国家财经法规和财务管理制度以及有关专项资金管理办法的规定，资金支付有完整的审批程序，不存在截留、挤占、挪用、虚列支出等情况。</w:t>
      </w:r>
    </w:p>
    <w:p w14:paraId="095FA761">
      <w:pPr>
        <w:spacing w:line="600" w:lineRule="exact"/>
        <w:ind w:firstLine="643" w:firstLineChars="200"/>
        <w:rPr>
          <w:rFonts w:ascii="宋体" w:hAnsi="宋体" w:eastAsia="方正仿宋简体"/>
          <w:color w:val="000000"/>
          <w:kern w:val="0"/>
          <w:sz w:val="32"/>
          <w:szCs w:val="32"/>
        </w:rPr>
      </w:pPr>
      <w:r>
        <w:rPr>
          <w:rFonts w:hint="eastAsia" w:ascii="宋体" w:hAnsi="宋体" w:eastAsia="方正仿宋简体"/>
          <w:b/>
          <w:color w:val="000000"/>
          <w:kern w:val="0"/>
          <w:sz w:val="32"/>
          <w:szCs w:val="32"/>
        </w:rPr>
        <w:t>3.产出指标分析</w:t>
      </w:r>
      <w:r>
        <w:rPr>
          <w:rFonts w:ascii="宋体" w:hAnsi="宋体" w:eastAsia="方正仿宋简体"/>
          <w:color w:val="000000"/>
          <w:kern w:val="0"/>
          <w:sz w:val="32"/>
          <w:szCs w:val="32"/>
        </w:rPr>
        <w:t>（总分20分，得分20分）</w:t>
      </w:r>
    </w:p>
    <w:p w14:paraId="65A97089">
      <w:pPr>
        <w:spacing w:line="590" w:lineRule="exact"/>
        <w:ind w:firstLine="640" w:firstLineChars="200"/>
        <w:rPr>
          <w:rFonts w:hint="eastAsia" w:ascii="宋体" w:hAnsi="宋体"/>
          <w:color w:val="000000"/>
        </w:rPr>
      </w:pPr>
      <w:r>
        <w:rPr>
          <w:rFonts w:hint="eastAsia" w:ascii="宋体" w:hAnsi="宋体" w:eastAsia="方正仿宋简体"/>
          <w:color w:val="000000"/>
          <w:sz w:val="32"/>
          <w:szCs w:val="32"/>
        </w:rPr>
        <w:t>数量指标：购置车辆数量１辆，全年完成值为１辆。</w:t>
      </w:r>
    </w:p>
    <w:p w14:paraId="006CFEFB">
      <w:pPr>
        <w:numPr>
          <w:ilvl w:val="0"/>
          <w:numId w:val="0"/>
        </w:numPr>
        <w:spacing w:line="600" w:lineRule="exact"/>
        <w:ind w:firstLine="643" w:firstLineChars="200"/>
        <w:rPr>
          <w:rFonts w:hint="eastAsia" w:ascii="宋体" w:hAnsi="宋体" w:eastAsia="方正仿宋简体"/>
          <w:color w:val="000000"/>
          <w:sz w:val="32"/>
          <w:szCs w:val="32"/>
        </w:rPr>
      </w:pPr>
      <w:r>
        <w:rPr>
          <w:rFonts w:hint="eastAsia" w:ascii="宋体" w:hAnsi="宋体" w:eastAsia="方正仿宋简体"/>
          <w:b/>
          <w:color w:val="000000"/>
          <w:kern w:val="0"/>
          <w:sz w:val="32"/>
          <w:szCs w:val="32"/>
          <w:lang w:val="en-US" w:eastAsia="zh-CN"/>
        </w:rPr>
        <w:t>4.</w:t>
      </w:r>
      <w:r>
        <w:rPr>
          <w:rFonts w:hint="eastAsia" w:ascii="宋体" w:hAnsi="宋体" w:eastAsia="方正仿宋简体"/>
          <w:b/>
          <w:color w:val="000000"/>
          <w:kern w:val="0"/>
          <w:sz w:val="32"/>
          <w:szCs w:val="32"/>
        </w:rPr>
        <w:t>效果指标分析</w:t>
      </w:r>
      <w:r>
        <w:rPr>
          <w:rFonts w:hint="eastAsia" w:ascii="宋体" w:hAnsi="宋体" w:eastAsia="方正仿宋简体"/>
          <w:color w:val="000000"/>
          <w:kern w:val="0"/>
          <w:sz w:val="32"/>
          <w:szCs w:val="32"/>
        </w:rPr>
        <w:t>（总分</w:t>
      </w:r>
      <w:r>
        <w:rPr>
          <w:rFonts w:ascii="宋体" w:hAnsi="宋体" w:eastAsia="方正仿宋简体"/>
          <w:color w:val="000000"/>
          <w:kern w:val="0"/>
          <w:sz w:val="32"/>
          <w:szCs w:val="32"/>
        </w:rPr>
        <w:t>30分，得分</w:t>
      </w:r>
      <w:r>
        <w:rPr>
          <w:rFonts w:hint="eastAsia" w:ascii="宋体" w:hAnsi="宋体" w:eastAsia="方正仿宋简体"/>
          <w:color w:val="000000"/>
          <w:kern w:val="0"/>
          <w:sz w:val="32"/>
          <w:szCs w:val="32"/>
        </w:rPr>
        <w:t>30分）</w:t>
      </w:r>
    </w:p>
    <w:p w14:paraId="2F62E200">
      <w:pPr>
        <w:spacing w:line="600" w:lineRule="exact"/>
        <w:ind w:firstLine="640" w:firstLineChars="200"/>
        <w:rPr>
          <w:rFonts w:hint="eastAsia" w:ascii="宋体" w:hAnsi="宋体" w:eastAsia="方正仿宋简体"/>
          <w:color w:val="000000"/>
          <w:sz w:val="32"/>
          <w:szCs w:val="32"/>
        </w:rPr>
      </w:pPr>
      <w:r>
        <w:rPr>
          <w:rFonts w:hint="eastAsia" w:ascii="宋体" w:hAnsi="宋体" w:eastAsia="方正仿宋简体"/>
          <w:color w:val="000000"/>
          <w:sz w:val="32"/>
          <w:szCs w:val="32"/>
        </w:rPr>
        <w:t>可持续影响指标：设备使用年限大于等于10年，全年完成值为大于等于10年。</w:t>
      </w:r>
    </w:p>
    <w:p w14:paraId="6BF085E9">
      <w:pPr>
        <w:ind w:firstLine="640" w:firstLineChars="200"/>
        <w:rPr>
          <w:rFonts w:hint="eastAsia" w:ascii="宋体" w:hAnsi="宋体" w:eastAsia="方正仿宋简体"/>
          <w:color w:val="000000"/>
          <w:sz w:val="32"/>
          <w:szCs w:val="32"/>
        </w:rPr>
      </w:pPr>
      <w:r>
        <w:rPr>
          <w:rFonts w:hint="eastAsia" w:ascii="宋体" w:hAnsi="宋体" w:eastAsia="方正仿宋简体"/>
          <w:color w:val="000000"/>
          <w:sz w:val="32"/>
          <w:szCs w:val="32"/>
        </w:rPr>
        <w:t>满意度指标：服务对象满意度-使用人满意度，年度指标值为大于95%，全年完成值为96%。</w:t>
      </w:r>
    </w:p>
    <w:p w14:paraId="1A7EAB94">
      <w:pPr>
        <w:pStyle w:val="2"/>
        <w:spacing w:line="600" w:lineRule="exact"/>
        <w:ind w:firstLine="627" w:firstLineChars="196"/>
        <w:rPr>
          <w:rFonts w:ascii="宋体" w:hAnsi="宋体" w:eastAsia="方正黑体简体"/>
          <w:sz w:val="32"/>
          <w:szCs w:val="32"/>
        </w:rPr>
      </w:pPr>
      <w:r>
        <w:rPr>
          <w:rFonts w:ascii="宋体" w:hAnsi="宋体" w:eastAsia="方正黑体简体"/>
          <w:sz w:val="32"/>
          <w:szCs w:val="32"/>
        </w:rPr>
        <w:t>五、主要经验及做法、存在的问题和建议</w:t>
      </w:r>
    </w:p>
    <w:p w14:paraId="0176E283">
      <w:pPr>
        <w:spacing w:line="600" w:lineRule="exact"/>
        <w:ind w:firstLine="643" w:firstLineChars="200"/>
        <w:rPr>
          <w:rFonts w:hint="eastAsia" w:ascii="宋体" w:hAnsi="宋体" w:eastAsia="方正仿宋简体"/>
          <w:color w:val="000000"/>
          <w:sz w:val="32"/>
          <w:szCs w:val="32"/>
        </w:rPr>
      </w:pPr>
      <w:r>
        <w:rPr>
          <w:rFonts w:hint="eastAsia" w:ascii="宋体" w:hAnsi="宋体" w:eastAsia="方正仿宋简体"/>
          <w:b/>
          <w:bCs/>
          <w:color w:val="000000"/>
          <w:sz w:val="32"/>
          <w:szCs w:val="32"/>
        </w:rPr>
        <w:t>一是</w:t>
      </w:r>
      <w:r>
        <w:rPr>
          <w:rFonts w:hint="eastAsia" w:ascii="宋体" w:hAnsi="宋体" w:eastAsia="方正仿宋简体"/>
          <w:color w:val="000000"/>
          <w:sz w:val="32"/>
          <w:szCs w:val="32"/>
        </w:rPr>
        <w:t>组织领导到位。成立了绩效管理组织。</w:t>
      </w:r>
      <w:r>
        <w:rPr>
          <w:rFonts w:hint="eastAsia" w:ascii="宋体" w:hAnsi="宋体" w:eastAsia="方正仿宋简体"/>
          <w:b/>
          <w:bCs/>
          <w:color w:val="000000"/>
          <w:sz w:val="32"/>
          <w:szCs w:val="32"/>
        </w:rPr>
        <w:t>二是</w:t>
      </w:r>
      <w:r>
        <w:rPr>
          <w:rFonts w:hint="eastAsia" w:ascii="宋体" w:hAnsi="宋体" w:eastAsia="方正仿宋简体"/>
          <w:color w:val="000000"/>
          <w:sz w:val="32"/>
          <w:szCs w:val="32"/>
        </w:rPr>
        <w:t>制定适合本单位预算绩效管理的相关制度，制定了本单位预算绩效管理的工作计划，按规定编制中长期规划绩效目标、部门整体绩效目标和项目支出绩效目标。对项目预算资金进行绩效跟踪，扎实开展预算绩效自评工作。</w:t>
      </w:r>
      <w:r>
        <w:rPr>
          <w:rFonts w:hint="eastAsia" w:ascii="宋体" w:hAnsi="宋体" w:eastAsia="方正仿宋简体"/>
          <w:b/>
          <w:bCs/>
          <w:color w:val="000000"/>
          <w:sz w:val="32"/>
          <w:szCs w:val="32"/>
        </w:rPr>
        <w:t>三是</w:t>
      </w:r>
      <w:r>
        <w:rPr>
          <w:rFonts w:hint="eastAsia" w:ascii="宋体" w:hAnsi="宋体" w:eastAsia="方正仿宋简体"/>
          <w:color w:val="000000"/>
          <w:sz w:val="32"/>
          <w:szCs w:val="32"/>
        </w:rPr>
        <w:t>规范项目管理。专项经费实行项目管理、专项核算、专款专用。</w:t>
      </w:r>
      <w:r>
        <w:rPr>
          <w:rFonts w:hint="eastAsia" w:ascii="宋体" w:hAnsi="宋体" w:eastAsia="方正仿宋简体"/>
          <w:b/>
          <w:bCs/>
          <w:color w:val="000000"/>
          <w:sz w:val="32"/>
          <w:szCs w:val="32"/>
        </w:rPr>
        <w:t>四是</w:t>
      </w:r>
      <w:r>
        <w:rPr>
          <w:rFonts w:hint="eastAsia" w:ascii="宋体" w:hAnsi="宋体" w:eastAsia="方正仿宋简体"/>
          <w:color w:val="000000"/>
          <w:sz w:val="32"/>
          <w:szCs w:val="32"/>
        </w:rPr>
        <w:t>健全项目管理责任制，不断增强项目执行的严肃性和约束力，加大对项目跟踪管理力度，努力保障项目顺利实施。</w:t>
      </w:r>
    </w:p>
    <w:p w14:paraId="0A45FBDD">
      <w:pPr>
        <w:rPr>
          <w:rFonts w:hint="eastAsia" w:ascii="宋体" w:hAnsi="宋体" w:eastAsia="方正仿宋简体"/>
          <w:sz w:val="32"/>
          <w:szCs w:val="32"/>
        </w:rPr>
      </w:pPr>
    </w:p>
    <w:p w14:paraId="509091B7">
      <w:pPr>
        <w:pStyle w:val="2"/>
        <w:rPr>
          <w:rFonts w:hint="eastAsia" w:ascii="宋体" w:hAnsi="宋体"/>
          <w:lang w:val="en-US" w:eastAsia="zh-CN"/>
        </w:rPr>
      </w:pPr>
    </w:p>
    <w:p w14:paraId="7CBD00D7">
      <w:pPr>
        <w:pStyle w:val="2"/>
        <w:spacing w:line="600" w:lineRule="exact"/>
        <w:ind w:firstLine="627" w:firstLineChars="196"/>
        <w:rPr>
          <w:rFonts w:ascii="宋体" w:hAnsi="宋体" w:eastAsia="方正仿宋简体"/>
          <w:color w:val="000000"/>
          <w:kern w:val="0"/>
          <w:sz w:val="32"/>
          <w:szCs w:val="32"/>
        </w:rPr>
      </w:pPr>
      <w:r>
        <w:rPr>
          <w:rFonts w:ascii="宋体" w:hAnsi="宋体" w:eastAsia="方正仿宋简体"/>
          <w:sz w:val="32"/>
          <w:szCs w:val="32"/>
        </w:rPr>
        <w:t>附：</w:t>
      </w:r>
      <w:r>
        <w:rPr>
          <w:rFonts w:ascii="宋体" w:hAnsi="宋体" w:eastAsia="方正仿宋简体"/>
          <w:color w:val="000000"/>
          <w:kern w:val="0"/>
          <w:sz w:val="32"/>
          <w:szCs w:val="32"/>
        </w:rPr>
        <w:t>1．20</w:t>
      </w:r>
      <w:r>
        <w:rPr>
          <w:rFonts w:hint="eastAsia" w:ascii="宋体" w:hAnsi="宋体" w:eastAsia="方正仿宋简体"/>
          <w:color w:val="000000"/>
          <w:kern w:val="0"/>
          <w:sz w:val="32"/>
          <w:szCs w:val="32"/>
        </w:rPr>
        <w:t>2</w:t>
      </w:r>
      <w:r>
        <w:rPr>
          <w:rFonts w:hint="eastAsia" w:ascii="宋体" w:hAnsi="宋体" w:eastAsia="方正仿宋简体"/>
          <w:color w:val="000000"/>
          <w:kern w:val="0"/>
          <w:sz w:val="32"/>
          <w:szCs w:val="32"/>
          <w:lang w:val="en-US" w:eastAsia="zh-CN"/>
        </w:rPr>
        <w:t>3</w:t>
      </w:r>
      <w:r>
        <w:rPr>
          <w:rFonts w:ascii="宋体" w:hAnsi="宋体" w:eastAsia="方正仿宋简体"/>
          <w:color w:val="000000"/>
          <w:kern w:val="0"/>
          <w:sz w:val="32"/>
          <w:szCs w:val="32"/>
        </w:rPr>
        <w:t>年度市本级项目支出绩效自评计分表</w:t>
      </w:r>
    </w:p>
    <w:p w14:paraId="4EDBD17A">
      <w:pPr>
        <w:pStyle w:val="2"/>
        <w:spacing w:line="600" w:lineRule="exact"/>
        <w:ind w:firstLine="1280" w:firstLineChars="400"/>
        <w:rPr>
          <w:rFonts w:ascii="宋体" w:hAnsi="宋体" w:eastAsia="方正仿宋简体"/>
          <w:color w:val="000000"/>
          <w:kern w:val="0"/>
          <w:sz w:val="32"/>
          <w:szCs w:val="32"/>
        </w:rPr>
      </w:pPr>
      <w:r>
        <w:rPr>
          <w:rFonts w:ascii="宋体" w:hAnsi="宋体" w:eastAsia="方正仿宋简体"/>
          <w:sz w:val="32"/>
          <w:szCs w:val="32"/>
        </w:rPr>
        <w:t>2．</w:t>
      </w:r>
      <w:r>
        <w:rPr>
          <w:rFonts w:ascii="宋体" w:hAnsi="宋体" w:eastAsia="方正仿宋简体"/>
          <w:color w:val="000000"/>
          <w:kern w:val="0"/>
          <w:sz w:val="32"/>
          <w:szCs w:val="32"/>
        </w:rPr>
        <w:t>20</w:t>
      </w:r>
      <w:r>
        <w:rPr>
          <w:rFonts w:hint="eastAsia" w:ascii="宋体" w:hAnsi="宋体" w:eastAsia="方正仿宋简体"/>
          <w:color w:val="000000"/>
          <w:kern w:val="0"/>
          <w:sz w:val="32"/>
          <w:szCs w:val="32"/>
        </w:rPr>
        <w:t>2</w:t>
      </w:r>
      <w:r>
        <w:rPr>
          <w:rFonts w:hint="eastAsia" w:ascii="宋体" w:hAnsi="宋体" w:eastAsia="方正仿宋简体"/>
          <w:color w:val="000000"/>
          <w:kern w:val="0"/>
          <w:sz w:val="32"/>
          <w:szCs w:val="32"/>
          <w:lang w:val="en-US" w:eastAsia="zh-CN"/>
        </w:rPr>
        <w:t>3</w:t>
      </w:r>
      <w:r>
        <w:rPr>
          <w:rFonts w:ascii="宋体" w:hAnsi="宋体" w:eastAsia="方正仿宋简体"/>
          <w:color w:val="000000"/>
          <w:kern w:val="0"/>
          <w:sz w:val="32"/>
          <w:szCs w:val="32"/>
        </w:rPr>
        <w:t>年度市本级项目支出绩效目标完成情况表</w:t>
      </w:r>
    </w:p>
    <w:p w14:paraId="1A4B2C09">
      <w:pPr>
        <w:rPr>
          <w:rFonts w:ascii="宋体" w:hAnsi="宋体"/>
        </w:rPr>
      </w:pPr>
    </w:p>
    <w:p w14:paraId="1C6ADDC8">
      <w:pPr>
        <w:spacing w:line="600" w:lineRule="exact"/>
        <w:jc w:val="left"/>
        <w:rPr>
          <w:rFonts w:ascii="宋体" w:hAnsi="宋体" w:eastAsia="方正黑体简体"/>
          <w:sz w:val="32"/>
          <w:szCs w:val="32"/>
        </w:rPr>
      </w:pPr>
    </w:p>
    <w:p w14:paraId="47665FDE">
      <w:pPr>
        <w:spacing w:line="600" w:lineRule="exact"/>
        <w:jc w:val="left"/>
        <w:rPr>
          <w:rFonts w:ascii="宋体" w:hAnsi="宋体" w:eastAsia="方正黑体简体"/>
          <w:sz w:val="32"/>
          <w:szCs w:val="32"/>
        </w:rPr>
      </w:pPr>
    </w:p>
    <w:p w14:paraId="193ED147">
      <w:pPr>
        <w:spacing w:line="600" w:lineRule="exact"/>
        <w:jc w:val="left"/>
        <w:rPr>
          <w:rFonts w:ascii="宋体" w:hAnsi="宋体" w:eastAsia="方正黑体简体"/>
          <w:sz w:val="32"/>
          <w:szCs w:val="32"/>
        </w:rPr>
      </w:pPr>
    </w:p>
    <w:p w14:paraId="5145F8D5">
      <w:pPr>
        <w:spacing w:line="600" w:lineRule="exact"/>
        <w:jc w:val="left"/>
        <w:rPr>
          <w:rFonts w:ascii="宋体" w:hAnsi="宋体" w:eastAsia="方正黑体简体"/>
          <w:sz w:val="32"/>
          <w:szCs w:val="32"/>
        </w:rPr>
      </w:pPr>
    </w:p>
    <w:p w14:paraId="4A2EDE6A">
      <w:pPr>
        <w:spacing w:line="600" w:lineRule="exact"/>
        <w:jc w:val="left"/>
        <w:rPr>
          <w:rFonts w:ascii="宋体" w:hAnsi="宋体" w:eastAsia="方正黑体简体"/>
          <w:sz w:val="32"/>
          <w:szCs w:val="32"/>
        </w:rPr>
      </w:pPr>
    </w:p>
    <w:p w14:paraId="0766DC05">
      <w:pPr>
        <w:spacing w:line="600" w:lineRule="exact"/>
        <w:jc w:val="left"/>
        <w:rPr>
          <w:rFonts w:ascii="宋体" w:hAnsi="宋体" w:eastAsia="方正黑体简体"/>
          <w:sz w:val="32"/>
          <w:szCs w:val="32"/>
        </w:rPr>
      </w:pPr>
    </w:p>
    <w:p w14:paraId="2CEE4B64">
      <w:pPr>
        <w:spacing w:line="600" w:lineRule="exact"/>
        <w:jc w:val="left"/>
        <w:rPr>
          <w:rFonts w:ascii="宋体" w:hAnsi="宋体" w:eastAsia="方正黑体简体"/>
          <w:sz w:val="32"/>
          <w:szCs w:val="32"/>
        </w:rPr>
      </w:pPr>
    </w:p>
    <w:p w14:paraId="0464CFA5">
      <w:pPr>
        <w:pStyle w:val="2"/>
        <w:rPr>
          <w:rFonts w:ascii="宋体" w:hAnsi="宋体"/>
        </w:rPr>
      </w:pPr>
    </w:p>
    <w:p w14:paraId="4AF8A47D">
      <w:pPr>
        <w:pStyle w:val="2"/>
        <w:rPr>
          <w:rFonts w:ascii="宋体" w:hAnsi="宋体" w:eastAsia="方正黑体简体"/>
          <w:sz w:val="32"/>
          <w:szCs w:val="32"/>
        </w:rPr>
      </w:pPr>
    </w:p>
    <w:p w14:paraId="32B13C75">
      <w:pPr>
        <w:rPr>
          <w:rFonts w:ascii="宋体" w:hAnsi="宋体" w:eastAsia="方正黑体简体"/>
          <w:sz w:val="32"/>
          <w:szCs w:val="32"/>
        </w:rPr>
      </w:pPr>
    </w:p>
    <w:p w14:paraId="66E28A21">
      <w:pPr>
        <w:pStyle w:val="2"/>
        <w:rPr>
          <w:rFonts w:ascii="宋体" w:hAnsi="宋体" w:eastAsia="方正黑体简体"/>
          <w:sz w:val="32"/>
          <w:szCs w:val="32"/>
        </w:rPr>
      </w:pPr>
    </w:p>
    <w:p w14:paraId="49A309BF">
      <w:pPr>
        <w:rPr>
          <w:rFonts w:ascii="宋体" w:hAnsi="宋体" w:eastAsia="方正黑体简体"/>
          <w:sz w:val="32"/>
          <w:szCs w:val="32"/>
        </w:rPr>
      </w:pPr>
    </w:p>
    <w:p w14:paraId="6C4C9826">
      <w:pPr>
        <w:pStyle w:val="2"/>
        <w:rPr>
          <w:rFonts w:ascii="宋体" w:hAnsi="宋体"/>
        </w:rPr>
      </w:pPr>
    </w:p>
    <w:p w14:paraId="60DCEF4D">
      <w:pPr>
        <w:spacing w:line="600" w:lineRule="exact"/>
        <w:jc w:val="left"/>
        <w:rPr>
          <w:rFonts w:hint="default" w:ascii="宋体" w:hAnsi="宋体" w:eastAsia="方正黑体简体"/>
          <w:sz w:val="32"/>
          <w:szCs w:val="32"/>
          <w:lang w:val="en-US" w:eastAsia="zh-CN"/>
        </w:rPr>
      </w:pPr>
      <w:r>
        <w:rPr>
          <w:rFonts w:ascii="宋体" w:hAnsi="宋体" w:eastAsia="方正黑体简体"/>
          <w:sz w:val="32"/>
          <w:szCs w:val="32"/>
        </w:rPr>
        <w:t>附</w:t>
      </w:r>
      <w:r>
        <w:rPr>
          <w:rFonts w:hint="eastAsia" w:ascii="宋体" w:hAnsi="宋体" w:eastAsia="方正黑体简体"/>
          <w:sz w:val="32"/>
          <w:szCs w:val="32"/>
        </w:rPr>
        <w:t>表</w:t>
      </w:r>
      <w:r>
        <w:rPr>
          <w:rFonts w:hint="eastAsia" w:ascii="宋体" w:hAnsi="宋体" w:eastAsia="方正黑体简体"/>
          <w:sz w:val="32"/>
          <w:szCs w:val="32"/>
          <w:lang w:val="en-US" w:eastAsia="zh-CN"/>
        </w:rPr>
        <w:t>2-1</w:t>
      </w:r>
    </w:p>
    <w:p w14:paraId="12ECDC65">
      <w:pPr>
        <w:spacing w:line="600" w:lineRule="exact"/>
        <w:jc w:val="center"/>
        <w:rPr>
          <w:rFonts w:ascii="宋体" w:hAnsi="宋体" w:eastAsia="方正小标宋简体"/>
          <w:bCs/>
          <w:kern w:val="0"/>
          <w:sz w:val="40"/>
          <w:szCs w:val="40"/>
        </w:rPr>
      </w:pPr>
      <w:r>
        <w:rPr>
          <w:rFonts w:ascii="宋体" w:hAnsi="宋体" w:eastAsia="方正小标宋简体"/>
          <w:bCs/>
          <w:kern w:val="0"/>
          <w:sz w:val="40"/>
          <w:szCs w:val="40"/>
        </w:rPr>
        <w:t>20</w:t>
      </w:r>
      <w:r>
        <w:rPr>
          <w:rFonts w:hint="eastAsia" w:ascii="宋体" w:hAnsi="宋体" w:eastAsia="方正小标宋简体"/>
          <w:bCs/>
          <w:kern w:val="0"/>
          <w:sz w:val="40"/>
          <w:szCs w:val="40"/>
        </w:rPr>
        <w:t>23</w:t>
      </w:r>
      <w:r>
        <w:rPr>
          <w:rFonts w:ascii="宋体" w:hAnsi="宋体" w:eastAsia="方正小标宋简体"/>
          <w:bCs/>
          <w:kern w:val="0"/>
          <w:sz w:val="40"/>
          <w:szCs w:val="40"/>
        </w:rPr>
        <w:t>年度市本级项目支出绩效自评计分表</w:t>
      </w:r>
    </w:p>
    <w:p w14:paraId="38241A70">
      <w:pPr>
        <w:spacing w:line="600" w:lineRule="exact"/>
        <w:jc w:val="center"/>
        <w:rPr>
          <w:rFonts w:ascii="宋体" w:hAnsi="宋体" w:eastAsia="KaiTi_GB2312"/>
          <w:b/>
          <w:bCs/>
          <w:kern w:val="0"/>
          <w:sz w:val="20"/>
          <w:szCs w:val="20"/>
        </w:rPr>
      </w:pPr>
      <w:r>
        <w:rPr>
          <w:rFonts w:ascii="宋体" w:hAnsi="宋体" w:eastAsia="KaiTi_GB2312"/>
          <w:b/>
          <w:bCs/>
          <w:kern w:val="0"/>
          <w:sz w:val="20"/>
          <w:szCs w:val="20"/>
        </w:rPr>
        <w:t>（</w:t>
      </w:r>
      <w:r>
        <w:rPr>
          <w:rFonts w:hint="eastAsia" w:ascii="宋体" w:hAnsi="宋体" w:eastAsia="KaiTi_GB2312"/>
          <w:b/>
          <w:bCs/>
          <w:kern w:val="0"/>
          <w:sz w:val="20"/>
          <w:szCs w:val="20"/>
        </w:rPr>
        <w:t>特种作业车辆购置</w:t>
      </w:r>
      <w:r>
        <w:rPr>
          <w:rFonts w:ascii="宋体" w:hAnsi="宋体" w:eastAsia="KaiTi_GB2312"/>
          <w:b/>
          <w:bCs/>
          <w:kern w:val="0"/>
          <w:sz w:val="20"/>
          <w:szCs w:val="20"/>
        </w:rPr>
        <w:t>）</w:t>
      </w:r>
    </w:p>
    <w:p w14:paraId="2C4C89DE">
      <w:pPr>
        <w:spacing w:line="600" w:lineRule="exact"/>
        <w:rPr>
          <w:rFonts w:hint="eastAsia" w:ascii="宋体" w:hAnsi="宋体" w:eastAsia="KaiTi_GB2312"/>
          <w:sz w:val="32"/>
          <w:szCs w:val="32"/>
        </w:rPr>
      </w:pPr>
      <w:r>
        <w:rPr>
          <w:rFonts w:ascii="宋体" w:hAnsi="宋体" w:eastAsia="KaiTi_GB2312"/>
          <w:b/>
          <w:bCs/>
          <w:kern w:val="0"/>
          <w:sz w:val="20"/>
          <w:szCs w:val="20"/>
        </w:rPr>
        <w:t>预算单位名称：</w:t>
      </w:r>
      <w:r>
        <w:rPr>
          <w:rFonts w:hint="eastAsia" w:ascii="宋体" w:hAnsi="宋体" w:eastAsia="KaiTi_GB2312"/>
          <w:b/>
          <w:bCs/>
          <w:kern w:val="0"/>
          <w:sz w:val="20"/>
          <w:szCs w:val="20"/>
        </w:rPr>
        <w:t>中共资阳市委政法委员会</w:t>
      </w:r>
      <w:r>
        <w:rPr>
          <w:rFonts w:ascii="宋体" w:hAnsi="宋体" w:eastAsia="KaiTi_GB2312"/>
          <w:b/>
          <w:bCs/>
          <w:kern w:val="0"/>
          <w:sz w:val="20"/>
          <w:szCs w:val="20"/>
        </w:rPr>
        <w:t xml:space="preserve">       预算单位编码：</w:t>
      </w:r>
      <w:r>
        <w:rPr>
          <w:rFonts w:hint="eastAsia" w:ascii="宋体" w:hAnsi="宋体" w:eastAsia="KaiTi_GB2312"/>
          <w:b/>
          <w:bCs/>
          <w:kern w:val="0"/>
          <w:sz w:val="20"/>
          <w:szCs w:val="20"/>
        </w:rPr>
        <w:t>106001</w:t>
      </w:r>
      <w:r>
        <w:rPr>
          <w:rFonts w:ascii="宋体" w:hAnsi="宋体" w:eastAsia="KaiTi_GB2312"/>
          <w:b/>
          <w:bCs/>
          <w:kern w:val="0"/>
          <w:sz w:val="20"/>
          <w:szCs w:val="20"/>
        </w:rPr>
        <w:t xml:space="preserve">       自评等级：</w:t>
      </w:r>
      <w:r>
        <w:rPr>
          <w:rFonts w:hint="eastAsia" w:ascii="宋体" w:hAnsi="宋体" w:eastAsia="KaiTi_GB2312"/>
          <w:b/>
          <w:bCs/>
          <w:kern w:val="0"/>
          <w:sz w:val="20"/>
          <w:szCs w:val="20"/>
        </w:rPr>
        <w:t>优</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48"/>
        <w:gridCol w:w="798"/>
        <w:gridCol w:w="1648"/>
        <w:gridCol w:w="3489"/>
        <w:gridCol w:w="877"/>
        <w:gridCol w:w="846"/>
      </w:tblGrid>
      <w:tr w14:paraId="3196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816" w:type="dxa"/>
            <w:shd w:val="clear" w:color="000000" w:fill="FFFFFF"/>
            <w:noWrap w:val="0"/>
            <w:vAlign w:val="center"/>
          </w:tcPr>
          <w:p w14:paraId="5A1F05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一级</w:t>
            </w:r>
            <w:r>
              <w:rPr>
                <w:rFonts w:ascii="宋体" w:hAnsi="宋体"/>
                <w:b/>
                <w:bCs/>
                <w:kern w:val="0"/>
                <w:sz w:val="20"/>
                <w:szCs w:val="20"/>
              </w:rPr>
              <w:br w:type="textWrapping"/>
            </w:r>
            <w:r>
              <w:rPr>
                <w:rFonts w:ascii="宋体" w:hAnsi="宋体"/>
                <w:b/>
                <w:bCs/>
                <w:kern w:val="0"/>
                <w:sz w:val="20"/>
                <w:szCs w:val="20"/>
              </w:rPr>
              <w:t>指标</w:t>
            </w:r>
          </w:p>
        </w:tc>
        <w:tc>
          <w:tcPr>
            <w:tcW w:w="648" w:type="dxa"/>
            <w:shd w:val="clear" w:color="000000" w:fill="FFFFFF"/>
            <w:noWrap w:val="0"/>
            <w:vAlign w:val="center"/>
          </w:tcPr>
          <w:p w14:paraId="2EF081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二级</w:t>
            </w:r>
            <w:r>
              <w:rPr>
                <w:rFonts w:ascii="宋体" w:hAnsi="宋体"/>
                <w:b/>
                <w:bCs/>
                <w:kern w:val="0"/>
                <w:sz w:val="20"/>
                <w:szCs w:val="20"/>
              </w:rPr>
              <w:br w:type="textWrapping"/>
            </w:r>
            <w:r>
              <w:rPr>
                <w:rFonts w:ascii="宋体" w:hAnsi="宋体"/>
                <w:b/>
                <w:bCs/>
                <w:kern w:val="0"/>
                <w:sz w:val="20"/>
                <w:szCs w:val="20"/>
              </w:rPr>
              <w:t>指标</w:t>
            </w:r>
          </w:p>
        </w:tc>
        <w:tc>
          <w:tcPr>
            <w:tcW w:w="798" w:type="dxa"/>
            <w:shd w:val="clear" w:color="000000" w:fill="FFFFFF"/>
            <w:noWrap w:val="0"/>
            <w:vAlign w:val="center"/>
          </w:tcPr>
          <w:p w14:paraId="0AB229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三级</w:t>
            </w:r>
          </w:p>
          <w:p w14:paraId="104602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w:t>
            </w:r>
          </w:p>
        </w:tc>
        <w:tc>
          <w:tcPr>
            <w:tcW w:w="1648" w:type="dxa"/>
            <w:shd w:val="clear" w:color="000000" w:fill="FFFFFF"/>
            <w:noWrap w:val="0"/>
            <w:vAlign w:val="center"/>
          </w:tcPr>
          <w:p w14:paraId="6EFAE8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指标解释</w:t>
            </w:r>
          </w:p>
        </w:tc>
        <w:tc>
          <w:tcPr>
            <w:tcW w:w="3489" w:type="dxa"/>
            <w:shd w:val="clear" w:color="000000" w:fill="FFFFFF"/>
            <w:noWrap w:val="0"/>
            <w:vAlign w:val="center"/>
          </w:tcPr>
          <w:p w14:paraId="4E633B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指标说明（评价计分标准）</w:t>
            </w:r>
          </w:p>
        </w:tc>
        <w:tc>
          <w:tcPr>
            <w:tcW w:w="877" w:type="dxa"/>
            <w:shd w:val="clear" w:color="000000" w:fill="FFFFFF"/>
            <w:noWrap w:val="0"/>
            <w:vAlign w:val="center"/>
          </w:tcPr>
          <w:p w14:paraId="6B0A24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自评</w:t>
            </w:r>
          </w:p>
          <w:p w14:paraId="355260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分数</w:t>
            </w:r>
          </w:p>
        </w:tc>
        <w:tc>
          <w:tcPr>
            <w:tcW w:w="846" w:type="dxa"/>
            <w:shd w:val="clear" w:color="000000" w:fill="FFFFFF"/>
            <w:noWrap w:val="0"/>
            <w:vAlign w:val="center"/>
          </w:tcPr>
          <w:p w14:paraId="6DDBB7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自评依据及说明</w:t>
            </w:r>
          </w:p>
        </w:tc>
      </w:tr>
      <w:tr w14:paraId="2140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816" w:type="dxa"/>
            <w:vMerge w:val="restart"/>
            <w:shd w:val="clear" w:color="000000" w:fill="FFFFFF"/>
            <w:noWrap w:val="0"/>
            <w:textDirection w:val="tbRlV"/>
            <w:vAlign w:val="center"/>
          </w:tcPr>
          <w:p w14:paraId="086E13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投   入（25分）</w:t>
            </w:r>
          </w:p>
        </w:tc>
        <w:tc>
          <w:tcPr>
            <w:tcW w:w="648" w:type="dxa"/>
            <w:vMerge w:val="restart"/>
            <w:shd w:val="clear" w:color="000000" w:fill="FFFFFF"/>
            <w:noWrap w:val="0"/>
            <w:vAlign w:val="center"/>
          </w:tcPr>
          <w:p w14:paraId="6A4650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立项（15分）</w:t>
            </w:r>
          </w:p>
        </w:tc>
        <w:tc>
          <w:tcPr>
            <w:tcW w:w="798" w:type="dxa"/>
            <w:shd w:val="clear" w:color="000000" w:fill="FFFFFF"/>
            <w:noWrap w:val="0"/>
            <w:vAlign w:val="center"/>
          </w:tcPr>
          <w:p w14:paraId="7696A47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项目立项规范性（5分）</w:t>
            </w:r>
          </w:p>
        </w:tc>
        <w:tc>
          <w:tcPr>
            <w:tcW w:w="1648" w:type="dxa"/>
            <w:shd w:val="clear" w:color="000000" w:fill="FFFFFF"/>
            <w:noWrap w:val="0"/>
            <w:vAlign w:val="center"/>
          </w:tcPr>
          <w:p w14:paraId="3FAA4AE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项目的申请、设立过程是否符合相关要求，用以反映和考核项目立项的规范情况。</w:t>
            </w:r>
          </w:p>
        </w:tc>
        <w:tc>
          <w:tcPr>
            <w:tcW w:w="3489" w:type="dxa"/>
            <w:shd w:val="clear" w:color="000000" w:fill="FFFFFF"/>
            <w:noWrap w:val="0"/>
            <w:vAlign w:val="center"/>
          </w:tcPr>
          <w:p w14:paraId="473CC4A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项目是否按照规定的程序申请设立；（1分）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所提交的文件、材料是否符合相关要求；（2分）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事前是否已经过必要的可行性研究、专家论证、风险评估、集体决策等。（2分）</w:t>
            </w:r>
          </w:p>
        </w:tc>
        <w:tc>
          <w:tcPr>
            <w:tcW w:w="877" w:type="dxa"/>
            <w:noWrap w:val="0"/>
            <w:vAlign w:val="center"/>
          </w:tcPr>
          <w:p w14:paraId="3721E08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5</w:t>
            </w:r>
            <w:r>
              <w:rPr>
                <w:rFonts w:ascii="宋体" w:hAnsi="宋体"/>
                <w:kern w:val="0"/>
                <w:sz w:val="24"/>
              </w:rPr>
              <w:t>　</w:t>
            </w:r>
          </w:p>
        </w:tc>
        <w:tc>
          <w:tcPr>
            <w:tcW w:w="846" w:type="dxa"/>
            <w:noWrap w:val="0"/>
            <w:vAlign w:val="center"/>
          </w:tcPr>
          <w:p w14:paraId="3179E3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727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816" w:type="dxa"/>
            <w:vMerge w:val="continue"/>
            <w:shd w:val="clear" w:color="auto" w:fill="auto"/>
            <w:noWrap w:val="0"/>
            <w:vAlign w:val="center"/>
          </w:tcPr>
          <w:p w14:paraId="342883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0D7184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0F57A2F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绩效目标合理性（4分）</w:t>
            </w:r>
          </w:p>
        </w:tc>
        <w:tc>
          <w:tcPr>
            <w:tcW w:w="1648" w:type="dxa"/>
            <w:shd w:val="clear" w:color="000000" w:fill="FFFFFF"/>
            <w:noWrap w:val="0"/>
            <w:vAlign w:val="center"/>
          </w:tcPr>
          <w:p w14:paraId="395C415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项目所设定的绩效目标是否依据充分，是否符合客观实际，用以反映和考核项目绩效目标与项目实施的相符情况。</w:t>
            </w:r>
          </w:p>
        </w:tc>
        <w:tc>
          <w:tcPr>
            <w:tcW w:w="3489" w:type="dxa"/>
            <w:shd w:val="clear" w:color="000000" w:fill="FFFFFF"/>
            <w:noWrap w:val="0"/>
            <w:vAlign w:val="center"/>
          </w:tcPr>
          <w:p w14:paraId="056AD4B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是否符合国家相关法律法规、国民经济发展规划和党委政府决策；（1分）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是否与项目实施单位或委托单位职责密切相关；（1分）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项目是否为促进事业发展所必需；（1分）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项目预期产出效益和效果是否符合正常的业绩水平。（1分）</w:t>
            </w:r>
          </w:p>
        </w:tc>
        <w:tc>
          <w:tcPr>
            <w:tcW w:w="877" w:type="dxa"/>
            <w:noWrap w:val="0"/>
            <w:vAlign w:val="center"/>
          </w:tcPr>
          <w:p w14:paraId="042AA2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4</w:t>
            </w:r>
          </w:p>
        </w:tc>
        <w:tc>
          <w:tcPr>
            <w:tcW w:w="846" w:type="dxa"/>
            <w:noWrap w:val="0"/>
            <w:vAlign w:val="center"/>
          </w:tcPr>
          <w:p w14:paraId="400231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1DE8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816" w:type="dxa"/>
            <w:vMerge w:val="continue"/>
            <w:shd w:val="clear" w:color="auto" w:fill="auto"/>
            <w:noWrap w:val="0"/>
            <w:vAlign w:val="center"/>
          </w:tcPr>
          <w:p w14:paraId="1738F6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5A1827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61B0E66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绩效指标明确性（6分）</w:t>
            </w:r>
          </w:p>
        </w:tc>
        <w:tc>
          <w:tcPr>
            <w:tcW w:w="1648" w:type="dxa"/>
            <w:shd w:val="clear" w:color="000000" w:fill="FFFFFF"/>
            <w:noWrap w:val="0"/>
            <w:vAlign w:val="center"/>
          </w:tcPr>
          <w:p w14:paraId="3D2BD68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依据绩效目标设定的绩效指标是否清晰、细化、可衡量等，用以反映和考核项目绩效目标的明细化情况。</w:t>
            </w:r>
          </w:p>
        </w:tc>
        <w:tc>
          <w:tcPr>
            <w:tcW w:w="3489" w:type="dxa"/>
            <w:shd w:val="clear" w:color="000000" w:fill="FFFFFF"/>
            <w:noWrap w:val="0"/>
            <w:vAlign w:val="center"/>
          </w:tcPr>
          <w:p w14:paraId="45BBCDA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是否将项目绩效目标细化分解为具体的绩效指标；（2分）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是否通过清晰、可衡量的指标值予以体现；（1分）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是否与项目年度任务数或计划数相对应；（1分）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是否与预算确定的项目投资额或资金量相匹配。（2分）</w:t>
            </w:r>
          </w:p>
        </w:tc>
        <w:tc>
          <w:tcPr>
            <w:tcW w:w="877" w:type="dxa"/>
            <w:noWrap w:val="0"/>
            <w:vAlign w:val="center"/>
          </w:tcPr>
          <w:p w14:paraId="6AAC58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6</w:t>
            </w:r>
            <w:r>
              <w:rPr>
                <w:rFonts w:ascii="宋体" w:hAnsi="宋体"/>
                <w:kern w:val="0"/>
                <w:sz w:val="24"/>
              </w:rPr>
              <w:t>　</w:t>
            </w:r>
          </w:p>
        </w:tc>
        <w:tc>
          <w:tcPr>
            <w:tcW w:w="846" w:type="dxa"/>
            <w:noWrap w:val="0"/>
            <w:vAlign w:val="center"/>
          </w:tcPr>
          <w:p w14:paraId="234450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17BF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trPr>
        <w:tc>
          <w:tcPr>
            <w:tcW w:w="816" w:type="dxa"/>
            <w:vMerge w:val="continue"/>
            <w:shd w:val="clear" w:color="auto" w:fill="auto"/>
            <w:noWrap w:val="0"/>
            <w:vAlign w:val="center"/>
          </w:tcPr>
          <w:p w14:paraId="74F19F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restart"/>
            <w:shd w:val="clear" w:color="000000" w:fill="FFFFFF"/>
            <w:noWrap w:val="0"/>
            <w:vAlign w:val="center"/>
          </w:tcPr>
          <w:p w14:paraId="49F32A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资金</w:t>
            </w:r>
            <w:r>
              <w:rPr>
                <w:rFonts w:ascii="宋体" w:hAnsi="宋体"/>
                <w:kern w:val="0"/>
                <w:sz w:val="20"/>
                <w:szCs w:val="20"/>
              </w:rPr>
              <w:br w:type="textWrapping"/>
            </w:r>
            <w:r>
              <w:rPr>
                <w:rFonts w:ascii="宋体" w:hAnsi="宋体"/>
                <w:kern w:val="0"/>
                <w:sz w:val="20"/>
                <w:szCs w:val="20"/>
              </w:rPr>
              <w:t>落实（10分）</w:t>
            </w:r>
          </w:p>
        </w:tc>
        <w:tc>
          <w:tcPr>
            <w:tcW w:w="798" w:type="dxa"/>
            <w:shd w:val="clear" w:color="000000" w:fill="FFFFFF"/>
            <w:noWrap w:val="0"/>
            <w:vAlign w:val="center"/>
          </w:tcPr>
          <w:p w14:paraId="0E782A4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资金到位率（5分）</w:t>
            </w:r>
          </w:p>
        </w:tc>
        <w:tc>
          <w:tcPr>
            <w:tcW w:w="1648" w:type="dxa"/>
            <w:shd w:val="clear" w:color="000000" w:fill="FFFFFF"/>
            <w:noWrap w:val="0"/>
            <w:vAlign w:val="center"/>
          </w:tcPr>
          <w:p w14:paraId="6196E29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实际到位资金与计划投入资金的比率，用以反映和考核资金落实情况对项目实施的总体保障程度。</w:t>
            </w:r>
          </w:p>
        </w:tc>
        <w:tc>
          <w:tcPr>
            <w:tcW w:w="3489" w:type="dxa"/>
            <w:shd w:val="clear" w:color="000000" w:fill="FFFFFF"/>
            <w:noWrap w:val="0"/>
            <w:vAlign w:val="center"/>
          </w:tcPr>
          <w:p w14:paraId="2E256E3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资金到位率=（实际到位资金/计划投入资金）×100%。（达到目标值得5分，每少一个百分点扣1分，扣完为止）</w:t>
            </w:r>
            <w:r>
              <w:rPr>
                <w:rFonts w:ascii="宋体" w:hAnsi="宋体"/>
                <w:kern w:val="0"/>
                <w:sz w:val="20"/>
                <w:szCs w:val="20"/>
              </w:rPr>
              <w:br w:type="textWrapping"/>
            </w:r>
            <w:r>
              <w:rPr>
                <w:rFonts w:ascii="宋体" w:hAnsi="宋体"/>
                <w:kern w:val="0"/>
                <w:sz w:val="20"/>
                <w:szCs w:val="20"/>
              </w:rPr>
              <w:t>实际到位资金：一定时期（本年度或项目期）内实际落实到具体项目的资金。</w:t>
            </w:r>
            <w:r>
              <w:rPr>
                <w:rFonts w:ascii="宋体" w:hAnsi="宋体"/>
                <w:kern w:val="0"/>
                <w:sz w:val="20"/>
                <w:szCs w:val="20"/>
              </w:rPr>
              <w:br w:type="textWrapping"/>
            </w:r>
            <w:r>
              <w:rPr>
                <w:rFonts w:ascii="宋体" w:hAnsi="宋体"/>
                <w:kern w:val="0"/>
                <w:sz w:val="20"/>
                <w:szCs w:val="20"/>
              </w:rPr>
              <w:t>计划投入资金：一定时期（本年度或项目期）内计划投入到具体项目的资金。</w:t>
            </w:r>
          </w:p>
        </w:tc>
        <w:tc>
          <w:tcPr>
            <w:tcW w:w="877" w:type="dxa"/>
            <w:noWrap w:val="0"/>
            <w:vAlign w:val="center"/>
          </w:tcPr>
          <w:p w14:paraId="60A060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5</w:t>
            </w:r>
          </w:p>
        </w:tc>
        <w:tc>
          <w:tcPr>
            <w:tcW w:w="846" w:type="dxa"/>
            <w:noWrap w:val="0"/>
            <w:vAlign w:val="center"/>
          </w:tcPr>
          <w:p w14:paraId="6024C52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DAB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816" w:type="dxa"/>
            <w:vMerge w:val="continue"/>
            <w:shd w:val="clear" w:color="auto" w:fill="auto"/>
            <w:noWrap w:val="0"/>
            <w:vAlign w:val="center"/>
          </w:tcPr>
          <w:p w14:paraId="24DE988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42DEEC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36C2D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到位及时率（5分）</w:t>
            </w:r>
          </w:p>
        </w:tc>
        <w:tc>
          <w:tcPr>
            <w:tcW w:w="1648" w:type="dxa"/>
            <w:shd w:val="clear" w:color="000000" w:fill="FFFFFF"/>
            <w:noWrap w:val="0"/>
            <w:vAlign w:val="center"/>
          </w:tcPr>
          <w:p w14:paraId="02F0334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及时到位资金与应到位资金的比率，用以反映和考核项目资金落实的及时性程度。</w:t>
            </w:r>
          </w:p>
        </w:tc>
        <w:tc>
          <w:tcPr>
            <w:tcW w:w="3489" w:type="dxa"/>
            <w:shd w:val="clear" w:color="000000" w:fill="FFFFFF"/>
            <w:noWrap w:val="0"/>
            <w:vAlign w:val="center"/>
          </w:tcPr>
          <w:p w14:paraId="06E0DAC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到位及时率=（及时到位资金/应到位资金）×100%。（达到目标值得5分，每少一个百分点扣1分，扣完为止）</w:t>
            </w:r>
            <w:r>
              <w:rPr>
                <w:rFonts w:ascii="宋体" w:hAnsi="宋体"/>
                <w:kern w:val="0"/>
                <w:sz w:val="20"/>
                <w:szCs w:val="20"/>
              </w:rPr>
              <w:br w:type="textWrapping"/>
            </w:r>
            <w:r>
              <w:rPr>
                <w:rFonts w:ascii="宋体" w:hAnsi="宋体"/>
                <w:kern w:val="0"/>
                <w:sz w:val="20"/>
                <w:szCs w:val="20"/>
              </w:rPr>
              <w:t>及时到位资金：截至规定时点实际落实到具体项目的资金。</w:t>
            </w:r>
            <w:r>
              <w:rPr>
                <w:rFonts w:ascii="宋体" w:hAnsi="宋体"/>
                <w:kern w:val="0"/>
                <w:sz w:val="20"/>
                <w:szCs w:val="20"/>
              </w:rPr>
              <w:br w:type="textWrapping"/>
            </w:r>
            <w:r>
              <w:rPr>
                <w:rFonts w:ascii="宋体" w:hAnsi="宋体"/>
                <w:kern w:val="0"/>
                <w:sz w:val="20"/>
                <w:szCs w:val="20"/>
              </w:rPr>
              <w:t>应到位资金：按照合同或项目进度要求截至规定时点应落实到具体项目的资金。</w:t>
            </w:r>
          </w:p>
        </w:tc>
        <w:tc>
          <w:tcPr>
            <w:tcW w:w="877" w:type="dxa"/>
            <w:noWrap w:val="0"/>
            <w:vAlign w:val="center"/>
          </w:tcPr>
          <w:p w14:paraId="4355B0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5</w:t>
            </w:r>
          </w:p>
        </w:tc>
        <w:tc>
          <w:tcPr>
            <w:tcW w:w="846" w:type="dxa"/>
            <w:noWrap w:val="0"/>
            <w:vAlign w:val="center"/>
          </w:tcPr>
          <w:p w14:paraId="342D59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07FF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16" w:type="dxa"/>
            <w:vMerge w:val="restart"/>
            <w:shd w:val="clear" w:color="000000" w:fill="FFFFFF"/>
            <w:noWrap w:val="0"/>
            <w:textDirection w:val="tbRlV"/>
            <w:vAlign w:val="center"/>
          </w:tcPr>
          <w:p w14:paraId="0F029C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过   程（25分）</w:t>
            </w:r>
          </w:p>
        </w:tc>
        <w:tc>
          <w:tcPr>
            <w:tcW w:w="648" w:type="dxa"/>
            <w:vMerge w:val="restart"/>
            <w:shd w:val="clear" w:color="000000" w:fill="FFFFFF"/>
            <w:noWrap w:val="0"/>
            <w:vAlign w:val="center"/>
          </w:tcPr>
          <w:p w14:paraId="67D108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业务</w:t>
            </w:r>
            <w:r>
              <w:rPr>
                <w:rFonts w:ascii="宋体" w:hAnsi="宋体"/>
                <w:kern w:val="0"/>
                <w:sz w:val="20"/>
                <w:szCs w:val="20"/>
              </w:rPr>
              <w:br w:type="textWrapping"/>
            </w:r>
            <w:r>
              <w:rPr>
                <w:rFonts w:ascii="宋体" w:hAnsi="宋体"/>
                <w:kern w:val="0"/>
                <w:sz w:val="20"/>
                <w:szCs w:val="20"/>
              </w:rPr>
              <w:t>管理（13分）</w:t>
            </w:r>
          </w:p>
        </w:tc>
        <w:tc>
          <w:tcPr>
            <w:tcW w:w="798" w:type="dxa"/>
            <w:shd w:val="clear" w:color="000000" w:fill="FFFFFF"/>
            <w:noWrap w:val="0"/>
            <w:vAlign w:val="center"/>
          </w:tcPr>
          <w:p w14:paraId="6E89F8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管理制度健全性（4分）</w:t>
            </w:r>
          </w:p>
        </w:tc>
        <w:tc>
          <w:tcPr>
            <w:tcW w:w="1648" w:type="dxa"/>
            <w:shd w:val="clear" w:color="000000" w:fill="FFFFFF"/>
            <w:noWrap w:val="0"/>
            <w:vAlign w:val="center"/>
          </w:tcPr>
          <w:p w14:paraId="39D3002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项目实施单位的业务管理制度是否健全，用以反映和考核业务管理制度对项目顺利实施的保障情况。</w:t>
            </w:r>
          </w:p>
        </w:tc>
        <w:tc>
          <w:tcPr>
            <w:tcW w:w="3489" w:type="dxa"/>
            <w:shd w:val="clear" w:color="000000" w:fill="FFFFFF"/>
            <w:noWrap w:val="0"/>
            <w:vAlign w:val="center"/>
          </w:tcPr>
          <w:p w14:paraId="71A3C47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是否已制定或具有相应的业务管理制度；（2分）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业务管理制度是否合法、合规、完整。（2分）</w:t>
            </w:r>
          </w:p>
        </w:tc>
        <w:tc>
          <w:tcPr>
            <w:tcW w:w="877" w:type="dxa"/>
            <w:noWrap w:val="0"/>
            <w:vAlign w:val="center"/>
          </w:tcPr>
          <w:p w14:paraId="427819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4</w:t>
            </w:r>
          </w:p>
        </w:tc>
        <w:tc>
          <w:tcPr>
            <w:tcW w:w="846" w:type="dxa"/>
            <w:noWrap w:val="0"/>
            <w:vAlign w:val="center"/>
          </w:tcPr>
          <w:p w14:paraId="0F3670D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5BE1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16" w:type="dxa"/>
            <w:vMerge w:val="continue"/>
            <w:shd w:val="clear" w:color="auto" w:fill="auto"/>
            <w:noWrap w:val="0"/>
            <w:vAlign w:val="center"/>
          </w:tcPr>
          <w:p w14:paraId="7F237F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53A13C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3A53B9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制度执行有效性（6分)</w:t>
            </w:r>
          </w:p>
        </w:tc>
        <w:tc>
          <w:tcPr>
            <w:tcW w:w="1648" w:type="dxa"/>
            <w:shd w:val="clear" w:color="000000" w:fill="FFFFFF"/>
            <w:noWrap w:val="0"/>
            <w:vAlign w:val="center"/>
          </w:tcPr>
          <w:p w14:paraId="2B64743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项目实施是否符合相关业务管理规定，用以反映和考核业务管理制度的有效执行情况。</w:t>
            </w:r>
          </w:p>
        </w:tc>
        <w:tc>
          <w:tcPr>
            <w:tcW w:w="3489" w:type="dxa"/>
            <w:shd w:val="clear" w:color="000000" w:fill="FFFFFF"/>
            <w:noWrap w:val="0"/>
            <w:vAlign w:val="center"/>
          </w:tcPr>
          <w:p w14:paraId="7242409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是否遵守相关法律法规和业务管理规定；(1分）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项目调整及支出调整手续是否完备；（1分）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项目合同书、验收报告、技术鉴定等资料是否齐全并及时归档；（2分）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项目实施的人员条件、场地设备、信息支撑等是否落实到位。（2分）</w:t>
            </w:r>
          </w:p>
        </w:tc>
        <w:tc>
          <w:tcPr>
            <w:tcW w:w="877" w:type="dxa"/>
            <w:noWrap w:val="0"/>
            <w:vAlign w:val="center"/>
          </w:tcPr>
          <w:p w14:paraId="7FBC4C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6</w:t>
            </w:r>
            <w:r>
              <w:rPr>
                <w:rFonts w:ascii="宋体" w:hAnsi="宋体"/>
                <w:kern w:val="0"/>
                <w:sz w:val="24"/>
              </w:rPr>
              <w:t>　</w:t>
            </w:r>
          </w:p>
        </w:tc>
        <w:tc>
          <w:tcPr>
            <w:tcW w:w="846" w:type="dxa"/>
            <w:noWrap w:val="0"/>
            <w:vAlign w:val="center"/>
          </w:tcPr>
          <w:p w14:paraId="38EDBA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561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16" w:type="dxa"/>
            <w:vMerge w:val="continue"/>
            <w:shd w:val="clear" w:color="auto" w:fill="auto"/>
            <w:noWrap w:val="0"/>
            <w:vAlign w:val="center"/>
          </w:tcPr>
          <w:p w14:paraId="3EC0525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05FCFC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4B798E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项目质量可控性（3分）</w:t>
            </w:r>
          </w:p>
        </w:tc>
        <w:tc>
          <w:tcPr>
            <w:tcW w:w="1648" w:type="dxa"/>
            <w:shd w:val="clear" w:color="000000" w:fill="FFFFFF"/>
            <w:noWrap w:val="0"/>
            <w:vAlign w:val="center"/>
          </w:tcPr>
          <w:p w14:paraId="46756D5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项目实施单位是否为达到项目质量要求而采取了必需的措施,用以反映和考核项目实施单位对项目质量的控制情况。</w:t>
            </w:r>
          </w:p>
        </w:tc>
        <w:tc>
          <w:tcPr>
            <w:tcW w:w="3489" w:type="dxa"/>
            <w:shd w:val="clear" w:color="000000" w:fill="FFFFFF"/>
            <w:noWrap w:val="0"/>
            <w:vAlign w:val="center"/>
          </w:tcPr>
          <w:p w14:paraId="2AB187E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是否已制定或具有相应的项目质量要求或标准；（1分）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是否采取了相应的项目质量检查、验收等必需的控制措施或手段。（2分）</w:t>
            </w:r>
          </w:p>
        </w:tc>
        <w:tc>
          <w:tcPr>
            <w:tcW w:w="877" w:type="dxa"/>
            <w:noWrap w:val="0"/>
            <w:vAlign w:val="center"/>
          </w:tcPr>
          <w:p w14:paraId="27A12F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3</w:t>
            </w:r>
          </w:p>
        </w:tc>
        <w:tc>
          <w:tcPr>
            <w:tcW w:w="846" w:type="dxa"/>
            <w:noWrap w:val="0"/>
            <w:vAlign w:val="center"/>
          </w:tcPr>
          <w:p w14:paraId="0CE857E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0E91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16" w:type="dxa"/>
            <w:vMerge w:val="continue"/>
            <w:shd w:val="clear" w:color="auto" w:fill="auto"/>
            <w:noWrap w:val="0"/>
            <w:vAlign w:val="center"/>
          </w:tcPr>
          <w:p w14:paraId="4FF9CB6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restart"/>
            <w:shd w:val="clear" w:color="000000" w:fill="FFFFFF"/>
            <w:noWrap w:val="0"/>
            <w:vAlign w:val="center"/>
          </w:tcPr>
          <w:p w14:paraId="29E99D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财务</w:t>
            </w:r>
            <w:r>
              <w:rPr>
                <w:rFonts w:ascii="宋体" w:hAnsi="宋体"/>
                <w:kern w:val="0"/>
                <w:sz w:val="20"/>
                <w:szCs w:val="20"/>
              </w:rPr>
              <w:br w:type="textWrapping"/>
            </w:r>
            <w:r>
              <w:rPr>
                <w:rFonts w:ascii="宋体" w:hAnsi="宋体"/>
                <w:kern w:val="0"/>
                <w:sz w:val="20"/>
                <w:szCs w:val="20"/>
              </w:rPr>
              <w:t>管理（12分）</w:t>
            </w:r>
          </w:p>
        </w:tc>
        <w:tc>
          <w:tcPr>
            <w:tcW w:w="798" w:type="dxa"/>
            <w:shd w:val="clear" w:color="000000" w:fill="FFFFFF"/>
            <w:noWrap w:val="0"/>
            <w:vAlign w:val="center"/>
          </w:tcPr>
          <w:p w14:paraId="747E628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管理制度健全性（3分）</w:t>
            </w:r>
          </w:p>
        </w:tc>
        <w:tc>
          <w:tcPr>
            <w:tcW w:w="1648" w:type="dxa"/>
            <w:shd w:val="clear" w:color="000000" w:fill="FFFFFF"/>
            <w:noWrap w:val="0"/>
            <w:vAlign w:val="center"/>
          </w:tcPr>
          <w:p w14:paraId="3E9EC5D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项目实施单位的财务制度是否健全，用以反映和考核财务管理制度对资金规范、安全运行的保障情况。</w:t>
            </w:r>
          </w:p>
        </w:tc>
        <w:tc>
          <w:tcPr>
            <w:tcW w:w="3489" w:type="dxa"/>
            <w:shd w:val="clear" w:color="000000" w:fill="FFFFFF"/>
            <w:noWrap w:val="0"/>
            <w:vAlign w:val="center"/>
          </w:tcPr>
          <w:p w14:paraId="1E35467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是否已制定或具有相应的项目资金管理办法；（2分）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项目资金管理办法是否符合相关财务会计制度的规定。（1分）</w:t>
            </w:r>
          </w:p>
        </w:tc>
        <w:tc>
          <w:tcPr>
            <w:tcW w:w="877" w:type="dxa"/>
            <w:noWrap w:val="0"/>
            <w:vAlign w:val="center"/>
          </w:tcPr>
          <w:p w14:paraId="6CBE173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3</w:t>
            </w:r>
          </w:p>
        </w:tc>
        <w:tc>
          <w:tcPr>
            <w:tcW w:w="846" w:type="dxa"/>
            <w:noWrap w:val="0"/>
            <w:vAlign w:val="center"/>
          </w:tcPr>
          <w:p w14:paraId="4745462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4DDE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6" w:type="dxa"/>
            <w:vMerge w:val="continue"/>
            <w:shd w:val="clear" w:color="auto" w:fill="auto"/>
            <w:noWrap w:val="0"/>
            <w:vAlign w:val="center"/>
          </w:tcPr>
          <w:p w14:paraId="745DEAD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2FF4BD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25DF1E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资金使用合规性（7分）</w:t>
            </w:r>
          </w:p>
        </w:tc>
        <w:tc>
          <w:tcPr>
            <w:tcW w:w="1648" w:type="dxa"/>
            <w:shd w:val="clear" w:color="000000" w:fill="FFFFFF"/>
            <w:noWrap w:val="0"/>
            <w:vAlign w:val="center"/>
          </w:tcPr>
          <w:p w14:paraId="4BC8B5B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项目资金使用是否符合相关的财务管理制度规定，用以反映和考核项目资金的规范运行情况。</w:t>
            </w:r>
          </w:p>
        </w:tc>
        <w:tc>
          <w:tcPr>
            <w:tcW w:w="3489" w:type="dxa"/>
            <w:shd w:val="clear" w:color="000000" w:fill="FFFFFF"/>
            <w:noWrap w:val="0"/>
            <w:vAlign w:val="center"/>
          </w:tcPr>
          <w:p w14:paraId="44B1292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是否符合国家财经法规和财务管理制度以及有关专项资金管理办法的规定；（1分）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资金的拨付是否有完整的审批程序和手续；（2分）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项目的重大开支是否经过评估认证；（1分）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是否符合项目预算批复或合同规定的用途；（1分）</w:t>
            </w:r>
            <w:r>
              <w:rPr>
                <w:rFonts w:ascii="宋体" w:hAnsi="宋体"/>
                <w:kern w:val="0"/>
                <w:sz w:val="20"/>
                <w:szCs w:val="20"/>
              </w:rPr>
              <w:br w:type="textWrapping"/>
            </w:r>
            <w:r>
              <w:rPr>
                <w:rFonts w:hint="eastAsia" w:ascii="宋体" w:hAnsi="宋体" w:cs="宋体"/>
                <w:kern w:val="0"/>
                <w:sz w:val="20"/>
                <w:szCs w:val="20"/>
              </w:rPr>
              <w:t>⑤</w:t>
            </w:r>
            <w:r>
              <w:rPr>
                <w:rFonts w:ascii="宋体" w:hAnsi="宋体"/>
                <w:kern w:val="0"/>
                <w:sz w:val="20"/>
                <w:szCs w:val="20"/>
              </w:rPr>
              <w:t>是否存在截留、挤占、挪用、虚列支出等情况。（2分）</w:t>
            </w:r>
          </w:p>
        </w:tc>
        <w:tc>
          <w:tcPr>
            <w:tcW w:w="877" w:type="dxa"/>
            <w:noWrap w:val="0"/>
            <w:vAlign w:val="center"/>
          </w:tcPr>
          <w:p w14:paraId="2F278D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7</w:t>
            </w:r>
            <w:r>
              <w:rPr>
                <w:rFonts w:ascii="宋体" w:hAnsi="宋体"/>
                <w:kern w:val="0"/>
                <w:sz w:val="24"/>
              </w:rPr>
              <w:t>　</w:t>
            </w:r>
          </w:p>
        </w:tc>
        <w:tc>
          <w:tcPr>
            <w:tcW w:w="846" w:type="dxa"/>
            <w:noWrap w:val="0"/>
            <w:vAlign w:val="center"/>
          </w:tcPr>
          <w:p w14:paraId="147210A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09B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16" w:type="dxa"/>
            <w:vMerge w:val="continue"/>
            <w:shd w:val="clear" w:color="auto" w:fill="auto"/>
            <w:noWrap w:val="0"/>
            <w:vAlign w:val="center"/>
          </w:tcPr>
          <w:p w14:paraId="15E058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29D1F19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3354E3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财务监控有效性（2分）</w:t>
            </w:r>
          </w:p>
        </w:tc>
        <w:tc>
          <w:tcPr>
            <w:tcW w:w="1648" w:type="dxa"/>
            <w:shd w:val="clear" w:color="000000" w:fill="FFFFFF"/>
            <w:noWrap w:val="0"/>
            <w:vAlign w:val="center"/>
          </w:tcPr>
          <w:p w14:paraId="6518B60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项目实施单位是否为保障资金的安全、规范运行而采取了必要的监控措施，用以反映和考核项目实施单位对资金运行的控制情况。</w:t>
            </w:r>
          </w:p>
        </w:tc>
        <w:tc>
          <w:tcPr>
            <w:tcW w:w="3489" w:type="dxa"/>
            <w:shd w:val="clear" w:color="000000" w:fill="FFFFFF"/>
            <w:noWrap w:val="0"/>
            <w:vAlign w:val="center"/>
          </w:tcPr>
          <w:p w14:paraId="4F4B483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是否已制定或具有相应的监控机制；（1分）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是否采取了相应的财务检查等必要的监控措施或手段。（1分）</w:t>
            </w:r>
          </w:p>
        </w:tc>
        <w:tc>
          <w:tcPr>
            <w:tcW w:w="877" w:type="dxa"/>
            <w:noWrap w:val="0"/>
            <w:vAlign w:val="center"/>
          </w:tcPr>
          <w:p w14:paraId="521AFF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2</w:t>
            </w:r>
          </w:p>
        </w:tc>
        <w:tc>
          <w:tcPr>
            <w:tcW w:w="846" w:type="dxa"/>
            <w:noWrap w:val="0"/>
            <w:vAlign w:val="center"/>
          </w:tcPr>
          <w:p w14:paraId="11CA66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04C0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6" w:type="dxa"/>
            <w:vMerge w:val="restart"/>
            <w:shd w:val="clear" w:color="000000" w:fill="FFFFFF"/>
            <w:noWrap w:val="0"/>
            <w:textDirection w:val="tbRlV"/>
            <w:vAlign w:val="center"/>
          </w:tcPr>
          <w:p w14:paraId="2E9C12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产   出（20分）</w:t>
            </w:r>
          </w:p>
        </w:tc>
        <w:tc>
          <w:tcPr>
            <w:tcW w:w="648" w:type="dxa"/>
            <w:vMerge w:val="restart"/>
            <w:shd w:val="clear" w:color="000000" w:fill="FFFFFF"/>
            <w:noWrap w:val="0"/>
            <w:vAlign w:val="center"/>
          </w:tcPr>
          <w:p w14:paraId="10019C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产出（20分）</w:t>
            </w:r>
          </w:p>
        </w:tc>
        <w:tc>
          <w:tcPr>
            <w:tcW w:w="798" w:type="dxa"/>
            <w:shd w:val="clear" w:color="000000" w:fill="FFFFFF"/>
            <w:noWrap w:val="0"/>
            <w:vAlign w:val="center"/>
          </w:tcPr>
          <w:p w14:paraId="678621F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实际完成率（4分）</w:t>
            </w:r>
          </w:p>
        </w:tc>
        <w:tc>
          <w:tcPr>
            <w:tcW w:w="1648" w:type="dxa"/>
            <w:shd w:val="clear" w:color="000000" w:fill="FFFFFF"/>
            <w:noWrap w:val="0"/>
            <w:vAlign w:val="center"/>
          </w:tcPr>
          <w:p w14:paraId="6BE5A7D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项目实施的实际产出数与计划产出数的比率，用以反映和考核项目产出数量目标的实现程度。</w:t>
            </w:r>
          </w:p>
        </w:tc>
        <w:tc>
          <w:tcPr>
            <w:tcW w:w="3489" w:type="dxa"/>
            <w:shd w:val="clear" w:color="000000" w:fill="FFFFFF"/>
            <w:noWrap w:val="0"/>
            <w:vAlign w:val="center"/>
          </w:tcPr>
          <w:p w14:paraId="5D7D9EF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spacing w:val="-14"/>
                <w:kern w:val="0"/>
                <w:sz w:val="20"/>
                <w:szCs w:val="20"/>
              </w:rPr>
              <w:t>实际完成率=（实际产出数/计划产出数）×100%。（得分=实际完成率*4分）</w:t>
            </w:r>
            <w:r>
              <w:rPr>
                <w:rFonts w:ascii="宋体" w:hAnsi="宋体"/>
                <w:spacing w:val="-14"/>
                <w:kern w:val="0"/>
                <w:sz w:val="20"/>
                <w:szCs w:val="20"/>
              </w:rPr>
              <w:br w:type="textWrapping"/>
            </w:r>
            <w:r>
              <w:rPr>
                <w:rFonts w:ascii="宋体" w:hAnsi="宋体"/>
                <w:spacing w:val="-14"/>
                <w:kern w:val="0"/>
                <w:sz w:val="20"/>
                <w:szCs w:val="20"/>
              </w:rPr>
              <w:t>实际产出数：一定时期（本年度或项目期）内项目实际产出的产品或提供的服务数量。</w:t>
            </w:r>
            <w:r>
              <w:rPr>
                <w:rFonts w:ascii="宋体" w:hAnsi="宋体"/>
                <w:kern w:val="0"/>
                <w:sz w:val="20"/>
                <w:szCs w:val="20"/>
              </w:rPr>
              <w:br w:type="textWrapping"/>
            </w:r>
            <w:r>
              <w:rPr>
                <w:rFonts w:ascii="宋体" w:hAnsi="宋体"/>
                <w:kern w:val="0"/>
                <w:sz w:val="20"/>
                <w:szCs w:val="20"/>
              </w:rPr>
              <w:t>计划产出数：项目绩效目标确定的在一定时期（本年度或项目期）内计划产出的产品或提供的服务数量。</w:t>
            </w:r>
          </w:p>
        </w:tc>
        <w:tc>
          <w:tcPr>
            <w:tcW w:w="877" w:type="dxa"/>
            <w:noWrap w:val="0"/>
            <w:vAlign w:val="center"/>
          </w:tcPr>
          <w:p w14:paraId="4228BD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4</w:t>
            </w:r>
          </w:p>
        </w:tc>
        <w:tc>
          <w:tcPr>
            <w:tcW w:w="846" w:type="dxa"/>
            <w:noWrap w:val="0"/>
            <w:vAlign w:val="center"/>
          </w:tcPr>
          <w:p w14:paraId="3B0F229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1C0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6" w:type="dxa"/>
            <w:vMerge w:val="continue"/>
            <w:shd w:val="clear" w:color="auto" w:fill="auto"/>
            <w:noWrap w:val="0"/>
            <w:vAlign w:val="center"/>
          </w:tcPr>
          <w:p w14:paraId="6811C8F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12A05E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37DFCB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完成及时率（6分）</w:t>
            </w:r>
          </w:p>
        </w:tc>
        <w:tc>
          <w:tcPr>
            <w:tcW w:w="1648" w:type="dxa"/>
            <w:shd w:val="clear" w:color="000000" w:fill="FFFFFF"/>
            <w:noWrap w:val="0"/>
            <w:vAlign w:val="center"/>
          </w:tcPr>
          <w:p w14:paraId="545C0E0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项目实际提前完成时间与计划完成时间的比率，用以反映和考核项目产出时效目标的实现程度。</w:t>
            </w:r>
          </w:p>
        </w:tc>
        <w:tc>
          <w:tcPr>
            <w:tcW w:w="3489" w:type="dxa"/>
            <w:shd w:val="clear" w:color="000000" w:fill="FFFFFF"/>
            <w:noWrap w:val="0"/>
            <w:vAlign w:val="center"/>
          </w:tcPr>
          <w:p w14:paraId="7881D4F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完成及时率=[（计划完成时间-实际完成时间）/计划完成时间]×100%。（1--4季度各得1.5分）</w:t>
            </w:r>
            <w:r>
              <w:rPr>
                <w:rFonts w:ascii="宋体" w:hAnsi="宋体"/>
                <w:kern w:val="0"/>
                <w:sz w:val="20"/>
                <w:szCs w:val="20"/>
              </w:rPr>
              <w:br w:type="textWrapping"/>
            </w:r>
            <w:r>
              <w:rPr>
                <w:rFonts w:ascii="宋体" w:hAnsi="宋体"/>
                <w:kern w:val="0"/>
                <w:sz w:val="20"/>
                <w:szCs w:val="20"/>
              </w:rPr>
              <w:t>实际完成时间：项目实施单位完成该项目实际所耗用的时间。</w:t>
            </w:r>
            <w:r>
              <w:rPr>
                <w:rFonts w:ascii="宋体" w:hAnsi="宋体"/>
                <w:kern w:val="0"/>
                <w:sz w:val="20"/>
                <w:szCs w:val="20"/>
              </w:rPr>
              <w:br w:type="textWrapping"/>
            </w:r>
            <w:r>
              <w:rPr>
                <w:rFonts w:ascii="宋体" w:hAnsi="宋体"/>
                <w:kern w:val="0"/>
                <w:sz w:val="20"/>
                <w:szCs w:val="20"/>
              </w:rPr>
              <w:t>计划完成时间：按照项目实施计划或相关规定完成该项目所需的时间。</w:t>
            </w:r>
          </w:p>
        </w:tc>
        <w:tc>
          <w:tcPr>
            <w:tcW w:w="877" w:type="dxa"/>
            <w:noWrap w:val="0"/>
            <w:vAlign w:val="center"/>
          </w:tcPr>
          <w:p w14:paraId="616E483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6</w:t>
            </w:r>
          </w:p>
        </w:tc>
        <w:tc>
          <w:tcPr>
            <w:tcW w:w="846" w:type="dxa"/>
            <w:noWrap w:val="0"/>
            <w:vAlign w:val="center"/>
          </w:tcPr>
          <w:p w14:paraId="5CAD43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D78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16" w:type="dxa"/>
            <w:vMerge w:val="continue"/>
            <w:shd w:val="clear" w:color="auto" w:fill="auto"/>
            <w:noWrap w:val="0"/>
            <w:vAlign w:val="center"/>
          </w:tcPr>
          <w:p w14:paraId="74CD29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677F766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7F44BFB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质量达标率（5分）</w:t>
            </w:r>
          </w:p>
        </w:tc>
        <w:tc>
          <w:tcPr>
            <w:tcW w:w="1648" w:type="dxa"/>
            <w:shd w:val="clear" w:color="000000" w:fill="FFFFFF"/>
            <w:noWrap w:val="0"/>
            <w:vAlign w:val="center"/>
          </w:tcPr>
          <w:p w14:paraId="0BCF177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项目完成的质量达标产出数与实际产出数的比率，用以反映和考核项目产出质量目标的实现程度。</w:t>
            </w:r>
          </w:p>
        </w:tc>
        <w:tc>
          <w:tcPr>
            <w:tcW w:w="3489" w:type="dxa"/>
            <w:shd w:val="clear" w:color="000000" w:fill="FFFFFF"/>
            <w:noWrap w:val="0"/>
            <w:vAlign w:val="center"/>
          </w:tcPr>
          <w:p w14:paraId="0287207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质量达标率=（质量达标产出数/实际产出数）×100%。（得分=达标率*5分）</w:t>
            </w:r>
            <w:r>
              <w:rPr>
                <w:rFonts w:ascii="宋体" w:hAnsi="宋体"/>
                <w:kern w:val="0"/>
                <w:sz w:val="20"/>
                <w:szCs w:val="20"/>
              </w:rPr>
              <w:br w:type="textWrapping"/>
            </w:r>
            <w:r>
              <w:rPr>
                <w:rFonts w:ascii="宋体" w:hAnsi="宋体"/>
                <w:kern w:val="0"/>
                <w:sz w:val="20"/>
                <w:szCs w:val="20"/>
              </w:rPr>
              <w:t>质量达标产出数：一定时期（本年度或项目期）内实际达到既定质量标准的产品或服务数量。</w:t>
            </w:r>
            <w:r>
              <w:rPr>
                <w:rFonts w:ascii="宋体" w:hAnsi="宋体"/>
                <w:kern w:val="0"/>
                <w:sz w:val="20"/>
                <w:szCs w:val="20"/>
              </w:rPr>
              <w:br w:type="textWrapping"/>
            </w:r>
            <w:r>
              <w:rPr>
                <w:rFonts w:ascii="宋体" w:hAnsi="宋体"/>
                <w:spacing w:val="-10"/>
                <w:kern w:val="0"/>
                <w:sz w:val="20"/>
                <w:szCs w:val="20"/>
              </w:rPr>
              <w:t>既定质量标准是指项目实施单位设立绩效目标时依据计划标准、行业标准、历史标准或其他标准而设定的绩效指标值。</w:t>
            </w:r>
          </w:p>
        </w:tc>
        <w:tc>
          <w:tcPr>
            <w:tcW w:w="877" w:type="dxa"/>
            <w:noWrap w:val="0"/>
            <w:vAlign w:val="center"/>
          </w:tcPr>
          <w:p w14:paraId="081460C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50C05C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5091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6" w:type="dxa"/>
            <w:vMerge w:val="continue"/>
            <w:shd w:val="clear" w:color="auto" w:fill="auto"/>
            <w:noWrap w:val="0"/>
            <w:vAlign w:val="center"/>
          </w:tcPr>
          <w:p w14:paraId="21F04FB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79DFD9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787F07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成本节约率（5分）</w:t>
            </w:r>
          </w:p>
        </w:tc>
        <w:tc>
          <w:tcPr>
            <w:tcW w:w="1648" w:type="dxa"/>
            <w:shd w:val="clear" w:color="000000" w:fill="FFFFFF"/>
            <w:noWrap w:val="0"/>
            <w:vAlign w:val="center"/>
          </w:tcPr>
          <w:p w14:paraId="6123492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完成项目计划工作目标的实际节约成本与计划成本的比率，用以反映和考核项目的成本节约程度。</w:t>
            </w:r>
          </w:p>
        </w:tc>
        <w:tc>
          <w:tcPr>
            <w:tcW w:w="3489" w:type="dxa"/>
            <w:shd w:val="clear" w:color="000000" w:fill="FFFFFF"/>
            <w:noWrap w:val="0"/>
            <w:vAlign w:val="center"/>
          </w:tcPr>
          <w:p w14:paraId="78F4941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成本节约率=[（计划成本-实际成本）/计划成本]×100%。(节约的计5分,增加的按比例扣分)</w:t>
            </w:r>
            <w:r>
              <w:rPr>
                <w:rFonts w:ascii="宋体" w:hAnsi="宋体"/>
                <w:kern w:val="0"/>
                <w:sz w:val="20"/>
                <w:szCs w:val="20"/>
              </w:rPr>
              <w:br w:type="textWrapping"/>
            </w:r>
            <w:r>
              <w:rPr>
                <w:rFonts w:ascii="宋体" w:hAnsi="宋体"/>
                <w:spacing w:val="-10"/>
                <w:kern w:val="0"/>
                <w:sz w:val="20"/>
                <w:szCs w:val="20"/>
              </w:rPr>
              <w:t>实际成本：项目实施单位如期、保质、保量完成既定工作目标实际所耗费的支出。</w:t>
            </w:r>
            <w:r>
              <w:rPr>
                <w:rFonts w:ascii="宋体" w:hAnsi="宋体"/>
                <w:spacing w:val="-10"/>
                <w:kern w:val="0"/>
                <w:sz w:val="20"/>
                <w:szCs w:val="20"/>
              </w:rPr>
              <w:br w:type="textWrapping"/>
            </w:r>
            <w:r>
              <w:rPr>
                <w:rFonts w:ascii="宋体" w:hAnsi="宋体"/>
                <w:spacing w:val="-10"/>
                <w:kern w:val="0"/>
                <w:sz w:val="20"/>
                <w:szCs w:val="20"/>
              </w:rPr>
              <w:t>计划成本：项目实施单位为完成工作目标计划安排的支出，一般以项目预算为参考。</w:t>
            </w:r>
          </w:p>
        </w:tc>
        <w:tc>
          <w:tcPr>
            <w:tcW w:w="877" w:type="dxa"/>
            <w:noWrap w:val="0"/>
            <w:vAlign w:val="center"/>
          </w:tcPr>
          <w:p w14:paraId="5FB668F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06B690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04B6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6" w:type="dxa"/>
            <w:vMerge w:val="restart"/>
            <w:shd w:val="clear" w:color="000000" w:fill="FFFFFF"/>
            <w:noWrap w:val="0"/>
            <w:textDirection w:val="tbRlV"/>
            <w:vAlign w:val="center"/>
          </w:tcPr>
          <w:p w14:paraId="681F6C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效   果（30分）</w:t>
            </w:r>
          </w:p>
        </w:tc>
        <w:tc>
          <w:tcPr>
            <w:tcW w:w="648" w:type="dxa"/>
            <w:vMerge w:val="restart"/>
            <w:shd w:val="clear" w:color="000000" w:fill="FFFFFF"/>
            <w:noWrap w:val="0"/>
            <w:vAlign w:val="center"/>
          </w:tcPr>
          <w:p w14:paraId="4FDD82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效益（30分）</w:t>
            </w:r>
          </w:p>
        </w:tc>
        <w:tc>
          <w:tcPr>
            <w:tcW w:w="798" w:type="dxa"/>
            <w:shd w:val="clear" w:color="000000" w:fill="FFFFFF"/>
            <w:noWrap w:val="0"/>
            <w:vAlign w:val="center"/>
          </w:tcPr>
          <w:p w14:paraId="4F462EF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经济效益(5分）</w:t>
            </w:r>
          </w:p>
        </w:tc>
        <w:tc>
          <w:tcPr>
            <w:tcW w:w="1648" w:type="dxa"/>
            <w:shd w:val="clear" w:color="000000" w:fill="FFFFFF"/>
            <w:noWrap w:val="0"/>
            <w:vAlign w:val="center"/>
          </w:tcPr>
          <w:p w14:paraId="03CD6D2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项目实施对经济发展所带来的直接或间接影响情况。</w:t>
            </w:r>
          </w:p>
        </w:tc>
        <w:tc>
          <w:tcPr>
            <w:tcW w:w="3489" w:type="dxa"/>
            <w:vMerge w:val="restart"/>
            <w:shd w:val="clear" w:color="000000" w:fill="FFFFFF"/>
            <w:noWrap w:val="0"/>
            <w:vAlign w:val="center"/>
          </w:tcPr>
          <w:p w14:paraId="5101A13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877" w:type="dxa"/>
            <w:noWrap w:val="0"/>
            <w:vAlign w:val="center"/>
          </w:tcPr>
          <w:p w14:paraId="666714E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1FCF7D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0E51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vMerge w:val="continue"/>
            <w:shd w:val="clear" w:color="auto" w:fill="auto"/>
            <w:noWrap w:val="0"/>
            <w:vAlign w:val="center"/>
          </w:tcPr>
          <w:p w14:paraId="4513EA8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2347EC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023006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社会效益（5分）</w:t>
            </w:r>
          </w:p>
        </w:tc>
        <w:tc>
          <w:tcPr>
            <w:tcW w:w="1648" w:type="dxa"/>
            <w:shd w:val="clear" w:color="000000" w:fill="FFFFFF"/>
            <w:noWrap w:val="0"/>
            <w:vAlign w:val="center"/>
          </w:tcPr>
          <w:p w14:paraId="1ECEFAB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项目实施对社会发展所带来的直接或间接影响情况。</w:t>
            </w:r>
          </w:p>
        </w:tc>
        <w:tc>
          <w:tcPr>
            <w:tcW w:w="3489" w:type="dxa"/>
            <w:vMerge w:val="continue"/>
            <w:noWrap w:val="0"/>
            <w:vAlign w:val="center"/>
          </w:tcPr>
          <w:p w14:paraId="3BA4631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15D42F9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3CC26A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1BE3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vMerge w:val="continue"/>
            <w:shd w:val="clear" w:color="auto" w:fill="auto"/>
            <w:noWrap w:val="0"/>
            <w:vAlign w:val="center"/>
          </w:tcPr>
          <w:p w14:paraId="076DE9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7C2A63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1D02FA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生态效益（5分）</w:t>
            </w:r>
          </w:p>
        </w:tc>
        <w:tc>
          <w:tcPr>
            <w:tcW w:w="1648" w:type="dxa"/>
            <w:shd w:val="clear" w:color="000000" w:fill="FFFFFF"/>
            <w:noWrap w:val="0"/>
            <w:vAlign w:val="center"/>
          </w:tcPr>
          <w:p w14:paraId="716CE85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项目实施对生态环境所带来的直接或间接影响情况。</w:t>
            </w:r>
          </w:p>
        </w:tc>
        <w:tc>
          <w:tcPr>
            <w:tcW w:w="3489" w:type="dxa"/>
            <w:vMerge w:val="continue"/>
            <w:noWrap w:val="0"/>
            <w:vAlign w:val="center"/>
          </w:tcPr>
          <w:p w14:paraId="77B5133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166F87E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7210F5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3FF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vMerge w:val="continue"/>
            <w:shd w:val="clear" w:color="auto" w:fill="auto"/>
            <w:noWrap w:val="0"/>
            <w:vAlign w:val="center"/>
          </w:tcPr>
          <w:p w14:paraId="4DE221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54C5ECD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1D8D8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可持续影响</w:t>
            </w:r>
          </w:p>
        </w:tc>
        <w:tc>
          <w:tcPr>
            <w:tcW w:w="1648" w:type="dxa"/>
            <w:shd w:val="clear" w:color="000000" w:fill="FFFFFF"/>
            <w:noWrap w:val="0"/>
            <w:vAlign w:val="center"/>
          </w:tcPr>
          <w:p w14:paraId="4E58923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项目后续运行及成效发挥的可持续影响情况。</w:t>
            </w:r>
          </w:p>
        </w:tc>
        <w:tc>
          <w:tcPr>
            <w:tcW w:w="3489" w:type="dxa"/>
            <w:vMerge w:val="continue"/>
            <w:noWrap w:val="0"/>
            <w:vAlign w:val="center"/>
          </w:tcPr>
          <w:p w14:paraId="299EF3E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5FCD1BF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279D99A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962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16" w:type="dxa"/>
            <w:vMerge w:val="continue"/>
            <w:shd w:val="clear" w:color="auto" w:fill="auto"/>
            <w:noWrap w:val="0"/>
            <w:vAlign w:val="center"/>
          </w:tcPr>
          <w:p w14:paraId="142622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001F4E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2FA452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spacing w:val="-10"/>
                <w:kern w:val="0"/>
                <w:sz w:val="20"/>
                <w:szCs w:val="20"/>
              </w:rPr>
            </w:pPr>
            <w:r>
              <w:rPr>
                <w:rFonts w:ascii="宋体" w:hAnsi="宋体"/>
                <w:spacing w:val="-10"/>
                <w:kern w:val="0"/>
                <w:sz w:val="20"/>
                <w:szCs w:val="20"/>
              </w:rPr>
              <w:t>社会公众或服务对象满意度（10分）</w:t>
            </w:r>
          </w:p>
        </w:tc>
        <w:tc>
          <w:tcPr>
            <w:tcW w:w="1648" w:type="dxa"/>
            <w:shd w:val="clear" w:color="000000" w:fill="FFFFFF"/>
            <w:noWrap w:val="0"/>
            <w:vAlign w:val="center"/>
          </w:tcPr>
          <w:p w14:paraId="3766CB6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社会公众或服务对象对项目实施效果的满意程度。</w:t>
            </w:r>
          </w:p>
        </w:tc>
        <w:tc>
          <w:tcPr>
            <w:tcW w:w="3489" w:type="dxa"/>
            <w:shd w:val="clear" w:color="000000" w:fill="FFFFFF"/>
            <w:noWrap w:val="0"/>
            <w:vAlign w:val="center"/>
          </w:tcPr>
          <w:p w14:paraId="5CD6587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社会公众或服务对象是指因该项目实施而受到影响的部门（单位）、群体或个人。一般采取社会调查的方式。（按收到的服务对象的满意率计算得分）</w:t>
            </w:r>
          </w:p>
        </w:tc>
        <w:tc>
          <w:tcPr>
            <w:tcW w:w="877" w:type="dxa"/>
            <w:noWrap w:val="0"/>
            <w:vAlign w:val="center"/>
          </w:tcPr>
          <w:p w14:paraId="6CB75C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10</w:t>
            </w:r>
          </w:p>
        </w:tc>
        <w:tc>
          <w:tcPr>
            <w:tcW w:w="846" w:type="dxa"/>
            <w:noWrap w:val="0"/>
            <w:vAlign w:val="center"/>
          </w:tcPr>
          <w:p w14:paraId="0C043F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C7E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399" w:type="dxa"/>
            <w:gridSpan w:val="5"/>
            <w:shd w:val="clear" w:color="000000" w:fill="FFFFFF"/>
            <w:noWrap w:val="0"/>
            <w:vAlign w:val="center"/>
          </w:tcPr>
          <w:p w14:paraId="2A7A27A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合计</w:t>
            </w:r>
          </w:p>
        </w:tc>
        <w:tc>
          <w:tcPr>
            <w:tcW w:w="877" w:type="dxa"/>
            <w:noWrap w:val="0"/>
            <w:vAlign w:val="center"/>
          </w:tcPr>
          <w:p w14:paraId="2A500EA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100</w:t>
            </w:r>
          </w:p>
        </w:tc>
        <w:tc>
          <w:tcPr>
            <w:tcW w:w="846" w:type="dxa"/>
            <w:noWrap w:val="0"/>
            <w:vAlign w:val="center"/>
          </w:tcPr>
          <w:p w14:paraId="6B063F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bl>
    <w:p w14:paraId="161F00BB">
      <w:pPr>
        <w:spacing w:line="600" w:lineRule="exact"/>
        <w:jc w:val="left"/>
        <w:rPr>
          <w:rFonts w:ascii="宋体" w:hAnsi="宋体" w:eastAsia="方正黑体简体"/>
          <w:sz w:val="32"/>
          <w:szCs w:val="32"/>
        </w:rPr>
      </w:pPr>
    </w:p>
    <w:p w14:paraId="455EE3A3">
      <w:pPr>
        <w:spacing w:line="600" w:lineRule="exact"/>
        <w:jc w:val="left"/>
        <w:rPr>
          <w:rFonts w:ascii="宋体" w:hAnsi="宋体" w:eastAsia="方正黑体简体"/>
          <w:sz w:val="32"/>
          <w:szCs w:val="32"/>
        </w:rPr>
      </w:pPr>
    </w:p>
    <w:p w14:paraId="2997F76C">
      <w:pPr>
        <w:spacing w:line="600" w:lineRule="exact"/>
        <w:jc w:val="left"/>
        <w:rPr>
          <w:rFonts w:ascii="宋体" w:hAnsi="宋体" w:eastAsia="方正黑体简体"/>
          <w:sz w:val="32"/>
          <w:szCs w:val="32"/>
        </w:rPr>
      </w:pPr>
    </w:p>
    <w:p w14:paraId="3F9F4F33">
      <w:pPr>
        <w:spacing w:line="600" w:lineRule="exact"/>
        <w:jc w:val="left"/>
        <w:rPr>
          <w:rFonts w:ascii="宋体" w:hAnsi="宋体" w:eastAsia="方正黑体简体"/>
          <w:sz w:val="32"/>
          <w:szCs w:val="32"/>
        </w:rPr>
      </w:pPr>
    </w:p>
    <w:p w14:paraId="58B3D031">
      <w:pPr>
        <w:spacing w:line="600" w:lineRule="exact"/>
        <w:jc w:val="left"/>
        <w:rPr>
          <w:rFonts w:ascii="宋体" w:hAnsi="宋体" w:eastAsia="方正黑体简体"/>
          <w:sz w:val="32"/>
          <w:szCs w:val="32"/>
        </w:rPr>
      </w:pPr>
    </w:p>
    <w:p w14:paraId="0FD5FD4A">
      <w:pPr>
        <w:rPr>
          <w:rFonts w:ascii="宋体" w:hAnsi="宋体"/>
        </w:rPr>
      </w:pPr>
    </w:p>
    <w:p w14:paraId="529DE2F9">
      <w:pPr>
        <w:pStyle w:val="2"/>
        <w:rPr>
          <w:rFonts w:ascii="宋体" w:hAnsi="宋体"/>
        </w:rPr>
      </w:pPr>
    </w:p>
    <w:p w14:paraId="13235177">
      <w:pPr>
        <w:pStyle w:val="3"/>
        <w:rPr>
          <w:rFonts w:ascii="宋体" w:hAnsi="宋体"/>
        </w:rPr>
      </w:pPr>
    </w:p>
    <w:p w14:paraId="23460C7E">
      <w:pPr>
        <w:rPr>
          <w:rFonts w:ascii="宋体" w:hAnsi="宋体"/>
        </w:rPr>
      </w:pPr>
    </w:p>
    <w:p w14:paraId="1900D96C">
      <w:pPr>
        <w:pStyle w:val="2"/>
        <w:rPr>
          <w:rFonts w:ascii="宋体" w:hAnsi="宋体"/>
        </w:rPr>
      </w:pPr>
    </w:p>
    <w:p w14:paraId="00BA52BC">
      <w:pPr>
        <w:pStyle w:val="3"/>
        <w:rPr>
          <w:rFonts w:ascii="宋体" w:hAnsi="宋体"/>
        </w:rPr>
      </w:pPr>
    </w:p>
    <w:p w14:paraId="0BD8A287">
      <w:pPr>
        <w:pStyle w:val="3"/>
        <w:rPr>
          <w:rFonts w:ascii="宋体" w:hAnsi="宋体"/>
        </w:rPr>
      </w:pPr>
    </w:p>
    <w:p w14:paraId="42213E88">
      <w:pPr>
        <w:rPr>
          <w:rFonts w:ascii="宋体" w:hAnsi="宋体"/>
        </w:rPr>
      </w:pPr>
    </w:p>
    <w:p w14:paraId="03B16ACC">
      <w:pPr>
        <w:spacing w:line="600" w:lineRule="exact"/>
        <w:jc w:val="left"/>
        <w:rPr>
          <w:rFonts w:hint="eastAsia" w:ascii="宋体" w:hAnsi="宋体" w:eastAsia="方正黑体简体"/>
          <w:sz w:val="32"/>
          <w:szCs w:val="32"/>
          <w:lang w:val="en-US" w:eastAsia="zh-CN"/>
        </w:rPr>
      </w:pPr>
      <w:r>
        <w:rPr>
          <w:rFonts w:ascii="宋体" w:hAnsi="宋体" w:eastAsia="方正黑体简体"/>
          <w:sz w:val="32"/>
          <w:szCs w:val="32"/>
        </w:rPr>
        <w:t>附</w:t>
      </w:r>
      <w:r>
        <w:rPr>
          <w:rFonts w:hint="eastAsia" w:ascii="宋体" w:hAnsi="宋体" w:eastAsia="方正黑体简体"/>
          <w:sz w:val="32"/>
          <w:szCs w:val="32"/>
        </w:rPr>
        <w:t>表2</w:t>
      </w:r>
      <w:r>
        <w:rPr>
          <w:rFonts w:hint="eastAsia" w:ascii="宋体" w:hAnsi="宋体" w:eastAsia="方正黑体简体"/>
          <w:sz w:val="32"/>
          <w:szCs w:val="32"/>
          <w:lang w:val="en-US" w:eastAsia="zh-CN"/>
        </w:rPr>
        <w:t>-2</w:t>
      </w:r>
    </w:p>
    <w:p w14:paraId="0486DEF7">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宋体" w:hAnsi="宋体"/>
          <w:lang w:val="en-US" w:eastAsia="zh-CN"/>
        </w:rPr>
      </w:pPr>
    </w:p>
    <w:p w14:paraId="19265AC6">
      <w:pPr>
        <w:spacing w:line="600" w:lineRule="exact"/>
        <w:jc w:val="center"/>
        <w:rPr>
          <w:rFonts w:ascii="宋体" w:hAnsi="宋体" w:eastAsia="方正小标宋简体"/>
          <w:color w:val="000000"/>
          <w:spacing w:val="-12"/>
          <w:kern w:val="0"/>
          <w:sz w:val="40"/>
          <w:szCs w:val="40"/>
        </w:rPr>
      </w:pPr>
      <w:r>
        <w:rPr>
          <w:rFonts w:ascii="宋体" w:hAnsi="宋体" w:eastAsia="方正小标宋简体"/>
          <w:color w:val="000000"/>
          <w:spacing w:val="-12"/>
          <w:kern w:val="0"/>
          <w:sz w:val="40"/>
          <w:szCs w:val="40"/>
        </w:rPr>
        <w:t>20</w:t>
      </w:r>
      <w:r>
        <w:rPr>
          <w:rFonts w:hint="eastAsia" w:ascii="宋体" w:hAnsi="宋体" w:eastAsia="方正小标宋简体"/>
          <w:color w:val="000000"/>
          <w:spacing w:val="-12"/>
          <w:kern w:val="0"/>
          <w:sz w:val="40"/>
          <w:szCs w:val="40"/>
        </w:rPr>
        <w:t>23</w:t>
      </w:r>
      <w:r>
        <w:rPr>
          <w:rFonts w:ascii="宋体" w:hAnsi="宋体" w:eastAsia="方正小标宋简体"/>
          <w:color w:val="000000"/>
          <w:spacing w:val="-12"/>
          <w:kern w:val="0"/>
          <w:sz w:val="40"/>
          <w:szCs w:val="40"/>
        </w:rPr>
        <w:t>年度市本级项目支出绩效目标完成情况表</w:t>
      </w:r>
    </w:p>
    <w:p w14:paraId="4415382D">
      <w:pPr>
        <w:pStyle w:val="2"/>
        <w:spacing w:line="600" w:lineRule="exact"/>
        <w:rPr>
          <w:rFonts w:ascii="宋体" w:hAnsi="宋体"/>
        </w:rPr>
      </w:pPr>
    </w:p>
    <w:tbl>
      <w:tblPr>
        <w:tblStyle w:val="8"/>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6"/>
        <w:gridCol w:w="353"/>
        <w:gridCol w:w="1136"/>
        <w:gridCol w:w="970"/>
        <w:gridCol w:w="1299"/>
        <w:gridCol w:w="1413"/>
        <w:gridCol w:w="144"/>
        <w:gridCol w:w="1908"/>
        <w:gridCol w:w="11"/>
      </w:tblGrid>
      <w:tr w14:paraId="2AF4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noWrap w:val="0"/>
            <w:vAlign w:val="center"/>
          </w:tcPr>
          <w:p w14:paraId="7A3D958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0B6D0B1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名称</w:t>
            </w:r>
          </w:p>
        </w:tc>
        <w:tc>
          <w:tcPr>
            <w:tcW w:w="8069" w:type="dxa"/>
            <w:gridSpan w:val="8"/>
            <w:noWrap w:val="0"/>
            <w:vAlign w:val="center"/>
          </w:tcPr>
          <w:p w14:paraId="15FC07D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hint="eastAsia" w:ascii="宋体" w:hAnsi="宋体" w:eastAsia="KaiTi_GB2312"/>
                <w:b/>
                <w:bCs/>
                <w:kern w:val="0"/>
                <w:sz w:val="20"/>
                <w:szCs w:val="20"/>
              </w:rPr>
              <w:t>特种作业车辆购置</w:t>
            </w:r>
          </w:p>
        </w:tc>
      </w:tr>
      <w:tr w14:paraId="3FA1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restart"/>
            <w:noWrap w:val="0"/>
            <w:vAlign w:val="center"/>
          </w:tcPr>
          <w:p w14:paraId="10C4CE8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2546DA1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类型</w:t>
            </w:r>
          </w:p>
        </w:tc>
        <w:tc>
          <w:tcPr>
            <w:tcW w:w="1199" w:type="dxa"/>
            <w:gridSpan w:val="2"/>
            <w:noWrap w:val="0"/>
            <w:vAlign w:val="center"/>
          </w:tcPr>
          <w:p w14:paraId="0FAD5B2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产业发展</w:t>
            </w:r>
          </w:p>
        </w:tc>
        <w:tc>
          <w:tcPr>
            <w:tcW w:w="1136" w:type="dxa"/>
            <w:noWrap w:val="0"/>
            <w:vAlign w:val="center"/>
          </w:tcPr>
          <w:p w14:paraId="57B59C1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民生</w:t>
            </w:r>
          </w:p>
          <w:p w14:paraId="374991A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保障</w:t>
            </w:r>
          </w:p>
        </w:tc>
        <w:tc>
          <w:tcPr>
            <w:tcW w:w="2269" w:type="dxa"/>
            <w:gridSpan w:val="2"/>
            <w:noWrap w:val="0"/>
            <w:vAlign w:val="center"/>
          </w:tcPr>
          <w:p w14:paraId="508E418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基础设施</w:t>
            </w:r>
          </w:p>
        </w:tc>
        <w:tc>
          <w:tcPr>
            <w:tcW w:w="3465" w:type="dxa"/>
            <w:gridSpan w:val="3"/>
            <w:noWrap w:val="0"/>
            <w:vAlign w:val="center"/>
          </w:tcPr>
          <w:p w14:paraId="307868A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行政运行</w:t>
            </w:r>
          </w:p>
        </w:tc>
      </w:tr>
      <w:tr w14:paraId="3B80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08" w:hRule="atLeast"/>
        </w:trPr>
        <w:tc>
          <w:tcPr>
            <w:tcW w:w="890" w:type="dxa"/>
            <w:vMerge w:val="continue"/>
            <w:noWrap w:val="0"/>
            <w:vAlign w:val="center"/>
          </w:tcPr>
          <w:p w14:paraId="14D5894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p>
        </w:tc>
        <w:tc>
          <w:tcPr>
            <w:tcW w:w="1199" w:type="dxa"/>
            <w:gridSpan w:val="2"/>
            <w:noWrap w:val="0"/>
            <w:vAlign w:val="center"/>
          </w:tcPr>
          <w:p w14:paraId="56ECEF7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w:t>
            </w:r>
          </w:p>
        </w:tc>
        <w:tc>
          <w:tcPr>
            <w:tcW w:w="1136" w:type="dxa"/>
            <w:noWrap w:val="0"/>
            <w:vAlign w:val="center"/>
          </w:tcPr>
          <w:p w14:paraId="32085196">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rPr>
            </w:pPr>
            <w:r>
              <w:rPr>
                <w:rFonts w:ascii="宋体" w:hAnsi="宋体"/>
                <w:color w:val="000000"/>
                <w:kern w:val="0"/>
                <w:sz w:val="18"/>
                <w:szCs w:val="18"/>
              </w:rPr>
              <w:t>□</w:t>
            </w:r>
          </w:p>
        </w:tc>
        <w:tc>
          <w:tcPr>
            <w:tcW w:w="2269" w:type="dxa"/>
            <w:gridSpan w:val="2"/>
            <w:noWrap w:val="0"/>
            <w:vAlign w:val="center"/>
          </w:tcPr>
          <w:p w14:paraId="04B17DB9">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rPr>
            </w:pPr>
            <w:r>
              <w:rPr>
                <w:rFonts w:ascii="宋体" w:hAnsi="宋体"/>
                <w:color w:val="000000"/>
                <w:kern w:val="0"/>
                <w:sz w:val="18"/>
                <w:szCs w:val="18"/>
              </w:rPr>
              <w:sym w:font="Wingdings 2" w:char="00A3"/>
            </w:r>
          </w:p>
        </w:tc>
        <w:tc>
          <w:tcPr>
            <w:tcW w:w="3465" w:type="dxa"/>
            <w:gridSpan w:val="3"/>
            <w:noWrap w:val="0"/>
            <w:vAlign w:val="center"/>
          </w:tcPr>
          <w:p w14:paraId="7F0497B3">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rPr>
            </w:pPr>
            <w:r>
              <w:rPr>
                <w:rFonts w:ascii="宋体" w:hAnsi="宋体"/>
                <w:color w:val="000000"/>
                <w:kern w:val="0"/>
                <w:sz w:val="18"/>
                <w:szCs w:val="18"/>
              </w:rPr>
              <w:sym w:font="Wingdings 2" w:char="0052"/>
            </w:r>
          </w:p>
        </w:tc>
      </w:tr>
      <w:tr w14:paraId="7B5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noWrap w:val="0"/>
            <w:vAlign w:val="center"/>
          </w:tcPr>
          <w:p w14:paraId="406DEFC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部门（单位）名称</w:t>
            </w:r>
          </w:p>
        </w:tc>
        <w:tc>
          <w:tcPr>
            <w:tcW w:w="4604" w:type="dxa"/>
            <w:gridSpan w:val="5"/>
            <w:noWrap w:val="0"/>
            <w:vAlign w:val="center"/>
          </w:tcPr>
          <w:p w14:paraId="36AFDC9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hint="eastAsia" w:ascii="宋体" w:hAnsi="宋体"/>
                <w:color w:val="000000"/>
                <w:kern w:val="0"/>
                <w:sz w:val="18"/>
                <w:szCs w:val="18"/>
              </w:rPr>
              <w:t>中共资阳市委政法委员</w:t>
            </w:r>
            <w:r>
              <w:rPr>
                <w:rFonts w:ascii="宋体" w:hAnsi="宋体"/>
                <w:color w:val="000000"/>
                <w:kern w:val="0"/>
                <w:sz w:val="18"/>
                <w:szCs w:val="18"/>
              </w:rPr>
              <w:t>　</w:t>
            </w:r>
          </w:p>
        </w:tc>
        <w:tc>
          <w:tcPr>
            <w:tcW w:w="1557" w:type="dxa"/>
            <w:gridSpan w:val="2"/>
            <w:noWrap w:val="0"/>
            <w:vAlign w:val="center"/>
          </w:tcPr>
          <w:p w14:paraId="47E1623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预算单位编码</w:t>
            </w:r>
          </w:p>
        </w:tc>
        <w:tc>
          <w:tcPr>
            <w:tcW w:w="1908" w:type="dxa"/>
            <w:noWrap w:val="0"/>
            <w:vAlign w:val="center"/>
          </w:tcPr>
          <w:p w14:paraId="350C0F9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106001</w:t>
            </w:r>
          </w:p>
        </w:tc>
      </w:tr>
      <w:tr w14:paraId="533A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trPr>
        <w:tc>
          <w:tcPr>
            <w:tcW w:w="890" w:type="dxa"/>
            <w:vMerge w:val="restart"/>
            <w:noWrap w:val="0"/>
            <w:vAlign w:val="center"/>
          </w:tcPr>
          <w:p w14:paraId="25AF4F7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预算执行情况</w:t>
            </w:r>
          </w:p>
        </w:tc>
        <w:tc>
          <w:tcPr>
            <w:tcW w:w="1199" w:type="dxa"/>
            <w:gridSpan w:val="2"/>
            <w:noWrap w:val="0"/>
            <w:vAlign w:val="center"/>
          </w:tcPr>
          <w:p w14:paraId="6808690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项目</w:t>
            </w:r>
          </w:p>
        </w:tc>
        <w:tc>
          <w:tcPr>
            <w:tcW w:w="1136" w:type="dxa"/>
            <w:noWrap w:val="0"/>
            <w:vAlign w:val="center"/>
          </w:tcPr>
          <w:p w14:paraId="2AA6E97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预算额(百元)</w:t>
            </w:r>
          </w:p>
        </w:tc>
        <w:tc>
          <w:tcPr>
            <w:tcW w:w="970" w:type="dxa"/>
            <w:noWrap w:val="0"/>
            <w:vAlign w:val="center"/>
          </w:tcPr>
          <w:p w14:paraId="3334982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执行额(百元)</w:t>
            </w:r>
          </w:p>
        </w:tc>
        <w:tc>
          <w:tcPr>
            <w:tcW w:w="1299" w:type="dxa"/>
            <w:noWrap w:val="0"/>
            <w:vAlign w:val="center"/>
          </w:tcPr>
          <w:p w14:paraId="2457DB5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当年结转结余额(百元)</w:t>
            </w:r>
          </w:p>
        </w:tc>
        <w:tc>
          <w:tcPr>
            <w:tcW w:w="1557" w:type="dxa"/>
            <w:gridSpan w:val="2"/>
            <w:noWrap w:val="0"/>
            <w:vAlign w:val="center"/>
          </w:tcPr>
          <w:p w14:paraId="3411609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结转结余率%</w:t>
            </w:r>
          </w:p>
        </w:tc>
        <w:tc>
          <w:tcPr>
            <w:tcW w:w="1908" w:type="dxa"/>
            <w:noWrap w:val="0"/>
            <w:vAlign w:val="center"/>
          </w:tcPr>
          <w:p w14:paraId="586A491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结转结余变动率%</w:t>
            </w:r>
          </w:p>
        </w:tc>
      </w:tr>
      <w:tr w14:paraId="53A4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continue"/>
            <w:noWrap w:val="0"/>
            <w:vAlign w:val="center"/>
          </w:tcPr>
          <w:p w14:paraId="272AE7C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199" w:type="dxa"/>
            <w:gridSpan w:val="2"/>
            <w:noWrap w:val="0"/>
            <w:vAlign w:val="center"/>
          </w:tcPr>
          <w:p w14:paraId="513F0E5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合   计</w:t>
            </w:r>
          </w:p>
        </w:tc>
        <w:tc>
          <w:tcPr>
            <w:tcW w:w="1136" w:type="dxa"/>
            <w:noWrap w:val="0"/>
            <w:vAlign w:val="center"/>
          </w:tcPr>
          <w:p w14:paraId="462A08D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1775</w:t>
            </w:r>
          </w:p>
        </w:tc>
        <w:tc>
          <w:tcPr>
            <w:tcW w:w="970" w:type="dxa"/>
            <w:noWrap w:val="0"/>
            <w:vAlign w:val="center"/>
          </w:tcPr>
          <w:p w14:paraId="36229558">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1775</w:t>
            </w:r>
          </w:p>
        </w:tc>
        <w:tc>
          <w:tcPr>
            <w:tcW w:w="1299" w:type="dxa"/>
            <w:noWrap w:val="0"/>
            <w:vAlign w:val="center"/>
          </w:tcPr>
          <w:p w14:paraId="2EFE97E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7" w:type="dxa"/>
            <w:gridSpan w:val="2"/>
            <w:noWrap w:val="0"/>
            <w:vAlign w:val="center"/>
          </w:tcPr>
          <w:p w14:paraId="57073F0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8" w:type="dxa"/>
            <w:noWrap w:val="0"/>
            <w:vAlign w:val="center"/>
          </w:tcPr>
          <w:p w14:paraId="3BC57C7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452D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continue"/>
            <w:noWrap w:val="0"/>
            <w:vAlign w:val="center"/>
          </w:tcPr>
          <w:p w14:paraId="3E7536FE">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199" w:type="dxa"/>
            <w:gridSpan w:val="2"/>
            <w:noWrap w:val="0"/>
            <w:vAlign w:val="center"/>
          </w:tcPr>
          <w:p w14:paraId="543CB72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财政拨款</w:t>
            </w:r>
          </w:p>
        </w:tc>
        <w:tc>
          <w:tcPr>
            <w:tcW w:w="1136" w:type="dxa"/>
            <w:noWrap w:val="0"/>
            <w:vAlign w:val="center"/>
          </w:tcPr>
          <w:p w14:paraId="1E2FFCB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1775</w:t>
            </w:r>
          </w:p>
        </w:tc>
        <w:tc>
          <w:tcPr>
            <w:tcW w:w="970" w:type="dxa"/>
            <w:noWrap w:val="0"/>
            <w:vAlign w:val="center"/>
          </w:tcPr>
          <w:p w14:paraId="2ADD76F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1775</w:t>
            </w:r>
          </w:p>
        </w:tc>
        <w:tc>
          <w:tcPr>
            <w:tcW w:w="1299" w:type="dxa"/>
            <w:noWrap w:val="0"/>
            <w:vAlign w:val="center"/>
          </w:tcPr>
          <w:p w14:paraId="7BAF3DB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7" w:type="dxa"/>
            <w:gridSpan w:val="2"/>
            <w:noWrap w:val="0"/>
            <w:vAlign w:val="center"/>
          </w:tcPr>
          <w:p w14:paraId="3670B34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8" w:type="dxa"/>
            <w:noWrap w:val="0"/>
            <w:vAlign w:val="center"/>
          </w:tcPr>
          <w:p w14:paraId="055E7F4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7891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117F9AD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199" w:type="dxa"/>
            <w:gridSpan w:val="2"/>
            <w:noWrap w:val="0"/>
            <w:vAlign w:val="center"/>
          </w:tcPr>
          <w:p w14:paraId="6313881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其他资金</w:t>
            </w:r>
          </w:p>
        </w:tc>
        <w:tc>
          <w:tcPr>
            <w:tcW w:w="1136" w:type="dxa"/>
            <w:noWrap w:val="0"/>
            <w:vAlign w:val="center"/>
          </w:tcPr>
          <w:p w14:paraId="5BFA77C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0</w:t>
            </w:r>
          </w:p>
        </w:tc>
        <w:tc>
          <w:tcPr>
            <w:tcW w:w="970" w:type="dxa"/>
            <w:noWrap w:val="0"/>
            <w:vAlign w:val="center"/>
          </w:tcPr>
          <w:p w14:paraId="5BBBCDC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0</w:t>
            </w:r>
          </w:p>
        </w:tc>
        <w:tc>
          <w:tcPr>
            <w:tcW w:w="1299" w:type="dxa"/>
            <w:noWrap w:val="0"/>
            <w:vAlign w:val="center"/>
          </w:tcPr>
          <w:p w14:paraId="20ED861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7" w:type="dxa"/>
            <w:gridSpan w:val="2"/>
            <w:noWrap w:val="0"/>
            <w:vAlign w:val="center"/>
          </w:tcPr>
          <w:p w14:paraId="328C949E">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8" w:type="dxa"/>
            <w:noWrap w:val="0"/>
            <w:vAlign w:val="center"/>
          </w:tcPr>
          <w:p w14:paraId="0FDBA42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7188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3" w:hRule="atLeast"/>
        </w:trPr>
        <w:tc>
          <w:tcPr>
            <w:tcW w:w="890" w:type="dxa"/>
            <w:vMerge w:val="restart"/>
            <w:noWrap w:val="0"/>
            <w:vAlign w:val="center"/>
          </w:tcPr>
          <w:p w14:paraId="13ACC2B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财政拨款结构</w:t>
            </w:r>
          </w:p>
        </w:tc>
        <w:tc>
          <w:tcPr>
            <w:tcW w:w="1199" w:type="dxa"/>
            <w:gridSpan w:val="2"/>
            <w:noWrap w:val="0"/>
            <w:vAlign w:val="center"/>
          </w:tcPr>
          <w:p w14:paraId="700B4BCE">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项目</w:t>
            </w:r>
          </w:p>
        </w:tc>
        <w:tc>
          <w:tcPr>
            <w:tcW w:w="1136" w:type="dxa"/>
            <w:noWrap w:val="0"/>
            <w:vAlign w:val="center"/>
          </w:tcPr>
          <w:p w14:paraId="23D9196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合计</w:t>
            </w:r>
          </w:p>
        </w:tc>
        <w:tc>
          <w:tcPr>
            <w:tcW w:w="970" w:type="dxa"/>
            <w:noWrap w:val="0"/>
            <w:vAlign w:val="center"/>
          </w:tcPr>
          <w:p w14:paraId="61059E3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一般公共预算安排</w:t>
            </w:r>
          </w:p>
        </w:tc>
        <w:tc>
          <w:tcPr>
            <w:tcW w:w="1299" w:type="dxa"/>
            <w:noWrap w:val="0"/>
            <w:vAlign w:val="center"/>
          </w:tcPr>
          <w:p w14:paraId="46B965B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政府性基金预算安排</w:t>
            </w:r>
          </w:p>
        </w:tc>
        <w:tc>
          <w:tcPr>
            <w:tcW w:w="1557" w:type="dxa"/>
            <w:gridSpan w:val="2"/>
            <w:noWrap w:val="0"/>
            <w:vAlign w:val="center"/>
          </w:tcPr>
          <w:p w14:paraId="27C40E0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国有资本经营预算安排</w:t>
            </w:r>
          </w:p>
        </w:tc>
        <w:tc>
          <w:tcPr>
            <w:tcW w:w="1908" w:type="dxa"/>
            <w:noWrap w:val="0"/>
            <w:vAlign w:val="center"/>
          </w:tcPr>
          <w:p w14:paraId="294DF95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社保基金预算安排</w:t>
            </w:r>
          </w:p>
        </w:tc>
      </w:tr>
      <w:tr w14:paraId="798C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6C350D2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199" w:type="dxa"/>
            <w:gridSpan w:val="2"/>
            <w:noWrap w:val="0"/>
            <w:vAlign w:val="center"/>
          </w:tcPr>
          <w:p w14:paraId="07D5705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预算额</w:t>
            </w:r>
          </w:p>
          <w:p w14:paraId="625488E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(百元)</w:t>
            </w:r>
          </w:p>
        </w:tc>
        <w:tc>
          <w:tcPr>
            <w:tcW w:w="1136" w:type="dxa"/>
            <w:noWrap w:val="0"/>
            <w:vAlign w:val="center"/>
          </w:tcPr>
          <w:p w14:paraId="008EB52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1775</w:t>
            </w:r>
          </w:p>
        </w:tc>
        <w:tc>
          <w:tcPr>
            <w:tcW w:w="970" w:type="dxa"/>
            <w:noWrap w:val="0"/>
            <w:vAlign w:val="center"/>
          </w:tcPr>
          <w:p w14:paraId="494537C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1775</w:t>
            </w:r>
          </w:p>
        </w:tc>
        <w:tc>
          <w:tcPr>
            <w:tcW w:w="1299" w:type="dxa"/>
            <w:noWrap w:val="0"/>
            <w:vAlign w:val="center"/>
          </w:tcPr>
          <w:p w14:paraId="42A8D1F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7" w:type="dxa"/>
            <w:gridSpan w:val="2"/>
            <w:noWrap w:val="0"/>
            <w:vAlign w:val="center"/>
          </w:tcPr>
          <w:p w14:paraId="160F009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8" w:type="dxa"/>
            <w:noWrap w:val="0"/>
            <w:vAlign w:val="center"/>
          </w:tcPr>
          <w:p w14:paraId="534F269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34A7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5E4B4F6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199" w:type="dxa"/>
            <w:gridSpan w:val="2"/>
            <w:noWrap w:val="0"/>
            <w:vAlign w:val="center"/>
          </w:tcPr>
          <w:p w14:paraId="06C530A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执行额</w:t>
            </w:r>
          </w:p>
          <w:p w14:paraId="0DADD04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(百元)</w:t>
            </w:r>
          </w:p>
        </w:tc>
        <w:tc>
          <w:tcPr>
            <w:tcW w:w="1136" w:type="dxa"/>
            <w:noWrap w:val="0"/>
            <w:vAlign w:val="center"/>
          </w:tcPr>
          <w:p w14:paraId="69E61BF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1775</w:t>
            </w:r>
          </w:p>
        </w:tc>
        <w:tc>
          <w:tcPr>
            <w:tcW w:w="970" w:type="dxa"/>
            <w:noWrap w:val="0"/>
            <w:vAlign w:val="center"/>
          </w:tcPr>
          <w:p w14:paraId="2F870FF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1775</w:t>
            </w:r>
          </w:p>
        </w:tc>
        <w:tc>
          <w:tcPr>
            <w:tcW w:w="1299" w:type="dxa"/>
            <w:noWrap w:val="0"/>
            <w:vAlign w:val="center"/>
          </w:tcPr>
          <w:p w14:paraId="33FF99D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557" w:type="dxa"/>
            <w:gridSpan w:val="2"/>
            <w:noWrap w:val="0"/>
            <w:vAlign w:val="center"/>
          </w:tcPr>
          <w:p w14:paraId="7D19B94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8" w:type="dxa"/>
            <w:noWrap w:val="0"/>
            <w:vAlign w:val="center"/>
          </w:tcPr>
          <w:p w14:paraId="529EAF6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3ACE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79A2DA8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199" w:type="dxa"/>
            <w:gridSpan w:val="2"/>
            <w:noWrap w:val="0"/>
            <w:vAlign w:val="center"/>
          </w:tcPr>
          <w:p w14:paraId="66C7F12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当年结转结余额(百元)</w:t>
            </w:r>
          </w:p>
        </w:tc>
        <w:tc>
          <w:tcPr>
            <w:tcW w:w="1136" w:type="dxa"/>
            <w:noWrap w:val="0"/>
            <w:vAlign w:val="center"/>
          </w:tcPr>
          <w:p w14:paraId="58E4840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970" w:type="dxa"/>
            <w:noWrap w:val="0"/>
            <w:vAlign w:val="center"/>
          </w:tcPr>
          <w:p w14:paraId="3032BC3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299" w:type="dxa"/>
            <w:noWrap w:val="0"/>
            <w:vAlign w:val="center"/>
          </w:tcPr>
          <w:p w14:paraId="11CA974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7" w:type="dxa"/>
            <w:gridSpan w:val="2"/>
            <w:noWrap w:val="0"/>
            <w:vAlign w:val="center"/>
          </w:tcPr>
          <w:p w14:paraId="2BEF2FD8">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8" w:type="dxa"/>
            <w:noWrap w:val="0"/>
            <w:vAlign w:val="center"/>
          </w:tcPr>
          <w:p w14:paraId="1796608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112B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2128B47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199" w:type="dxa"/>
            <w:gridSpan w:val="2"/>
            <w:noWrap w:val="0"/>
            <w:vAlign w:val="center"/>
          </w:tcPr>
          <w:p w14:paraId="1F4A203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结转结余率%</w:t>
            </w:r>
          </w:p>
        </w:tc>
        <w:tc>
          <w:tcPr>
            <w:tcW w:w="1136" w:type="dxa"/>
            <w:noWrap w:val="0"/>
            <w:vAlign w:val="center"/>
          </w:tcPr>
          <w:p w14:paraId="12C3915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970" w:type="dxa"/>
            <w:noWrap w:val="0"/>
            <w:vAlign w:val="center"/>
          </w:tcPr>
          <w:p w14:paraId="0918CD0E">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299" w:type="dxa"/>
            <w:noWrap w:val="0"/>
            <w:vAlign w:val="center"/>
          </w:tcPr>
          <w:p w14:paraId="40B75B6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7" w:type="dxa"/>
            <w:gridSpan w:val="2"/>
            <w:noWrap w:val="0"/>
            <w:vAlign w:val="center"/>
          </w:tcPr>
          <w:p w14:paraId="661E6BB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8" w:type="dxa"/>
            <w:noWrap w:val="0"/>
            <w:vAlign w:val="center"/>
          </w:tcPr>
          <w:p w14:paraId="5578C82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528B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5D32167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199" w:type="dxa"/>
            <w:gridSpan w:val="2"/>
            <w:noWrap w:val="0"/>
            <w:vAlign w:val="center"/>
          </w:tcPr>
          <w:p w14:paraId="110BCA2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结转结余变动率%</w:t>
            </w:r>
          </w:p>
        </w:tc>
        <w:tc>
          <w:tcPr>
            <w:tcW w:w="1136" w:type="dxa"/>
            <w:noWrap w:val="0"/>
            <w:vAlign w:val="center"/>
          </w:tcPr>
          <w:p w14:paraId="0D273EC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970" w:type="dxa"/>
            <w:noWrap w:val="0"/>
            <w:vAlign w:val="center"/>
          </w:tcPr>
          <w:p w14:paraId="20579F8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299" w:type="dxa"/>
            <w:noWrap w:val="0"/>
            <w:vAlign w:val="center"/>
          </w:tcPr>
          <w:p w14:paraId="52F7B3E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7" w:type="dxa"/>
            <w:gridSpan w:val="2"/>
            <w:noWrap w:val="0"/>
            <w:vAlign w:val="center"/>
          </w:tcPr>
          <w:p w14:paraId="63EAC8D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8" w:type="dxa"/>
            <w:noWrap w:val="0"/>
            <w:vAlign w:val="center"/>
          </w:tcPr>
          <w:p w14:paraId="761EC32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437E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4" w:hRule="atLeast"/>
        </w:trPr>
        <w:tc>
          <w:tcPr>
            <w:tcW w:w="890" w:type="dxa"/>
            <w:vMerge w:val="restart"/>
            <w:noWrap w:val="0"/>
            <w:vAlign w:val="center"/>
          </w:tcPr>
          <w:p w14:paraId="5F6BFF2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年度总体目标</w:t>
            </w:r>
          </w:p>
        </w:tc>
        <w:tc>
          <w:tcPr>
            <w:tcW w:w="2335" w:type="dxa"/>
            <w:gridSpan w:val="3"/>
            <w:noWrap w:val="0"/>
            <w:vAlign w:val="center"/>
          </w:tcPr>
          <w:p w14:paraId="4DE22A2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w:t>
            </w:r>
          </w:p>
        </w:tc>
        <w:tc>
          <w:tcPr>
            <w:tcW w:w="2269" w:type="dxa"/>
            <w:gridSpan w:val="2"/>
            <w:noWrap w:val="0"/>
            <w:vAlign w:val="center"/>
          </w:tcPr>
          <w:p w14:paraId="34A6E4B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预算总体目标执行结果</w:t>
            </w:r>
          </w:p>
        </w:tc>
        <w:tc>
          <w:tcPr>
            <w:tcW w:w="3465" w:type="dxa"/>
            <w:gridSpan w:val="3"/>
            <w:noWrap w:val="0"/>
            <w:vAlign w:val="center"/>
          </w:tcPr>
          <w:p w14:paraId="3B06A26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预算总体目标与预算总体目标执行结果偏差情况及原因分析</w:t>
            </w:r>
          </w:p>
        </w:tc>
      </w:tr>
      <w:tr w14:paraId="71AF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continue"/>
            <w:noWrap w:val="0"/>
            <w:vAlign w:val="center"/>
          </w:tcPr>
          <w:p w14:paraId="3B4DA58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2335" w:type="dxa"/>
            <w:gridSpan w:val="3"/>
            <w:noWrap w:val="0"/>
            <w:vAlign w:val="center"/>
          </w:tcPr>
          <w:p w14:paraId="2A5B47A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p>
        </w:tc>
        <w:tc>
          <w:tcPr>
            <w:tcW w:w="2269" w:type="dxa"/>
            <w:gridSpan w:val="2"/>
            <w:noWrap w:val="0"/>
            <w:vAlign w:val="center"/>
          </w:tcPr>
          <w:p w14:paraId="14A5BA7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hint="eastAsia" w:ascii="宋体" w:hAnsi="宋体"/>
                <w:color w:val="000000"/>
                <w:kern w:val="0"/>
                <w:sz w:val="18"/>
                <w:szCs w:val="18"/>
              </w:rPr>
              <w:t>已完成</w:t>
            </w:r>
            <w:r>
              <w:rPr>
                <w:rFonts w:ascii="宋体" w:hAnsi="宋体"/>
                <w:color w:val="000000"/>
                <w:kern w:val="0"/>
                <w:sz w:val="18"/>
                <w:szCs w:val="18"/>
              </w:rPr>
              <w:t>　</w:t>
            </w:r>
          </w:p>
        </w:tc>
        <w:tc>
          <w:tcPr>
            <w:tcW w:w="3465" w:type="dxa"/>
            <w:gridSpan w:val="3"/>
            <w:noWrap w:val="0"/>
            <w:vAlign w:val="center"/>
          </w:tcPr>
          <w:p w14:paraId="2A910AD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hint="eastAsia" w:ascii="宋体" w:hAnsi="宋体"/>
                <w:color w:val="000000"/>
                <w:kern w:val="0"/>
                <w:sz w:val="18"/>
                <w:szCs w:val="18"/>
              </w:rPr>
              <w:t>无偏差</w:t>
            </w:r>
            <w:r>
              <w:rPr>
                <w:rFonts w:ascii="宋体" w:hAnsi="宋体"/>
                <w:color w:val="000000"/>
                <w:kern w:val="0"/>
                <w:sz w:val="18"/>
                <w:szCs w:val="18"/>
              </w:rPr>
              <w:t>　</w:t>
            </w:r>
          </w:p>
        </w:tc>
      </w:tr>
      <w:tr w14:paraId="6D3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90" w:type="dxa"/>
            <w:vMerge w:val="restart"/>
            <w:noWrap w:val="0"/>
            <w:vAlign w:val="center"/>
          </w:tcPr>
          <w:p w14:paraId="596376F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年度绩</w:t>
            </w:r>
          </w:p>
          <w:p w14:paraId="7FA1A3F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效指标</w:t>
            </w:r>
          </w:p>
        </w:tc>
        <w:tc>
          <w:tcPr>
            <w:tcW w:w="846" w:type="dxa"/>
            <w:noWrap w:val="0"/>
            <w:vAlign w:val="center"/>
          </w:tcPr>
          <w:p w14:paraId="400B26C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一级</w:t>
            </w:r>
          </w:p>
          <w:p w14:paraId="0B1F3B3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489" w:type="dxa"/>
            <w:gridSpan w:val="2"/>
            <w:noWrap w:val="0"/>
            <w:vAlign w:val="center"/>
          </w:tcPr>
          <w:p w14:paraId="7E3D287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二级指标</w:t>
            </w:r>
          </w:p>
        </w:tc>
        <w:tc>
          <w:tcPr>
            <w:tcW w:w="970" w:type="dxa"/>
            <w:noWrap w:val="0"/>
            <w:vAlign w:val="center"/>
          </w:tcPr>
          <w:p w14:paraId="1DC7F51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三级</w:t>
            </w:r>
          </w:p>
          <w:p w14:paraId="5A08805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299" w:type="dxa"/>
            <w:noWrap w:val="0"/>
            <w:vAlign w:val="center"/>
          </w:tcPr>
          <w:p w14:paraId="674D498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预算指标值(包含数字及文字描述)</w:t>
            </w:r>
          </w:p>
        </w:tc>
        <w:tc>
          <w:tcPr>
            <w:tcW w:w="1413" w:type="dxa"/>
            <w:noWrap w:val="0"/>
            <w:vAlign w:val="center"/>
          </w:tcPr>
          <w:p w14:paraId="6B59203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预算指标值执行结果(包含数字及文字描述)</w:t>
            </w:r>
          </w:p>
        </w:tc>
        <w:tc>
          <w:tcPr>
            <w:tcW w:w="2063" w:type="dxa"/>
            <w:gridSpan w:val="3"/>
            <w:noWrap w:val="0"/>
            <w:vAlign w:val="center"/>
          </w:tcPr>
          <w:p w14:paraId="2AC8CF9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预算指标值与预算指标值执行结果偏差情况及原因分析</w:t>
            </w:r>
          </w:p>
        </w:tc>
      </w:tr>
      <w:tr w14:paraId="1F06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0183E9D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846" w:type="dxa"/>
            <w:vMerge w:val="restart"/>
            <w:noWrap w:val="0"/>
            <w:vAlign w:val="center"/>
          </w:tcPr>
          <w:p w14:paraId="01485CB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7A12F55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完成</w:t>
            </w:r>
          </w:p>
        </w:tc>
        <w:tc>
          <w:tcPr>
            <w:tcW w:w="1489" w:type="dxa"/>
            <w:gridSpan w:val="2"/>
            <w:noWrap w:val="0"/>
            <w:vAlign w:val="center"/>
          </w:tcPr>
          <w:p w14:paraId="3898977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数量指标</w:t>
            </w:r>
          </w:p>
        </w:tc>
        <w:tc>
          <w:tcPr>
            <w:tcW w:w="970" w:type="dxa"/>
            <w:noWrap w:val="0"/>
            <w:vAlign w:val="center"/>
          </w:tcPr>
          <w:p w14:paraId="38A0E6EE">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车辆购置数</w:t>
            </w:r>
          </w:p>
        </w:tc>
        <w:tc>
          <w:tcPr>
            <w:tcW w:w="1299" w:type="dxa"/>
            <w:noWrap w:val="0"/>
            <w:vAlign w:val="center"/>
          </w:tcPr>
          <w:p w14:paraId="1E5A522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color w:val="000000"/>
                <w:kern w:val="0"/>
                <w:sz w:val="18"/>
                <w:szCs w:val="18"/>
              </w:rPr>
            </w:pPr>
            <w:r>
              <w:rPr>
                <w:rFonts w:hint="eastAsia" w:ascii="宋体" w:hAnsi="宋体"/>
                <w:color w:val="000000"/>
                <w:kern w:val="0"/>
                <w:sz w:val="18"/>
                <w:szCs w:val="18"/>
              </w:rPr>
              <w:t>1辆</w:t>
            </w:r>
          </w:p>
        </w:tc>
        <w:tc>
          <w:tcPr>
            <w:tcW w:w="1413" w:type="dxa"/>
            <w:noWrap w:val="0"/>
            <w:vAlign w:val="center"/>
          </w:tcPr>
          <w:p w14:paraId="25714544">
            <w:pPr>
              <w:keepNext w:val="0"/>
              <w:keepLines w:val="0"/>
              <w:pageBreakBefore w:val="0"/>
              <w:widowControl/>
              <w:kinsoku/>
              <w:wordWrap/>
              <w:overflowPunct/>
              <w:topLinePunct w:val="0"/>
              <w:autoSpaceDE/>
              <w:autoSpaceDN/>
              <w:bidi w:val="0"/>
              <w:adjustRightInd/>
              <w:snapToGrid/>
              <w:spacing w:line="420" w:lineRule="exact"/>
              <w:ind w:firstLine="180" w:firstLineChars="100"/>
              <w:jc w:val="left"/>
              <w:textAlignment w:val="auto"/>
              <w:rPr>
                <w:rFonts w:hint="eastAsia" w:ascii="宋体" w:hAnsi="宋体"/>
                <w:color w:val="000000"/>
                <w:kern w:val="0"/>
                <w:sz w:val="18"/>
                <w:szCs w:val="18"/>
              </w:rPr>
            </w:pPr>
            <w:r>
              <w:rPr>
                <w:rFonts w:hint="eastAsia" w:ascii="宋体" w:hAnsi="宋体"/>
                <w:color w:val="000000"/>
                <w:kern w:val="0"/>
                <w:sz w:val="18"/>
                <w:szCs w:val="18"/>
              </w:rPr>
              <w:t>1辆</w:t>
            </w:r>
          </w:p>
        </w:tc>
        <w:tc>
          <w:tcPr>
            <w:tcW w:w="2063" w:type="dxa"/>
            <w:gridSpan w:val="3"/>
            <w:noWrap w:val="0"/>
            <w:vAlign w:val="center"/>
          </w:tcPr>
          <w:p w14:paraId="0AAFC6F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无偏差</w:t>
            </w:r>
          </w:p>
        </w:tc>
      </w:tr>
      <w:tr w14:paraId="1B5A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23C7BD6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846" w:type="dxa"/>
            <w:vMerge w:val="continue"/>
            <w:noWrap w:val="0"/>
            <w:vAlign w:val="center"/>
          </w:tcPr>
          <w:p w14:paraId="29DAD41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489" w:type="dxa"/>
            <w:gridSpan w:val="2"/>
            <w:noWrap w:val="0"/>
            <w:vAlign w:val="center"/>
          </w:tcPr>
          <w:p w14:paraId="4B2B8C7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质量指标</w:t>
            </w:r>
          </w:p>
        </w:tc>
        <w:tc>
          <w:tcPr>
            <w:tcW w:w="970" w:type="dxa"/>
            <w:noWrap w:val="0"/>
            <w:vAlign w:val="center"/>
          </w:tcPr>
          <w:p w14:paraId="57F2247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验收合格率</w:t>
            </w:r>
          </w:p>
        </w:tc>
        <w:tc>
          <w:tcPr>
            <w:tcW w:w="1299" w:type="dxa"/>
            <w:noWrap w:val="0"/>
            <w:vAlign w:val="center"/>
          </w:tcPr>
          <w:p w14:paraId="765D91E8">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=100%</w:t>
            </w:r>
          </w:p>
        </w:tc>
        <w:tc>
          <w:tcPr>
            <w:tcW w:w="1413" w:type="dxa"/>
            <w:noWrap w:val="0"/>
            <w:vAlign w:val="center"/>
          </w:tcPr>
          <w:p w14:paraId="632B1ED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=100%</w:t>
            </w:r>
          </w:p>
        </w:tc>
        <w:tc>
          <w:tcPr>
            <w:tcW w:w="2063" w:type="dxa"/>
            <w:gridSpan w:val="3"/>
            <w:noWrap w:val="0"/>
            <w:vAlign w:val="center"/>
          </w:tcPr>
          <w:p w14:paraId="2AAB95B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无偏差</w:t>
            </w:r>
          </w:p>
        </w:tc>
      </w:tr>
      <w:tr w14:paraId="3085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10EC264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846" w:type="dxa"/>
            <w:vMerge w:val="continue"/>
            <w:noWrap w:val="0"/>
            <w:vAlign w:val="center"/>
          </w:tcPr>
          <w:p w14:paraId="1B724C1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489" w:type="dxa"/>
            <w:gridSpan w:val="2"/>
            <w:noWrap w:val="0"/>
            <w:vAlign w:val="center"/>
          </w:tcPr>
          <w:p w14:paraId="75A5D39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时效指标</w:t>
            </w:r>
          </w:p>
        </w:tc>
        <w:tc>
          <w:tcPr>
            <w:tcW w:w="970" w:type="dxa"/>
            <w:noWrap w:val="0"/>
            <w:vAlign w:val="center"/>
          </w:tcPr>
          <w:p w14:paraId="147B0B2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完成时效</w:t>
            </w:r>
          </w:p>
        </w:tc>
        <w:tc>
          <w:tcPr>
            <w:tcW w:w="1299" w:type="dxa"/>
            <w:noWrap w:val="0"/>
            <w:vAlign w:val="center"/>
          </w:tcPr>
          <w:p w14:paraId="047DFCD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=1年</w:t>
            </w:r>
          </w:p>
        </w:tc>
        <w:tc>
          <w:tcPr>
            <w:tcW w:w="1413" w:type="dxa"/>
            <w:noWrap w:val="0"/>
            <w:vAlign w:val="center"/>
          </w:tcPr>
          <w:p w14:paraId="78E95C5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=1年</w:t>
            </w:r>
          </w:p>
        </w:tc>
        <w:tc>
          <w:tcPr>
            <w:tcW w:w="2063" w:type="dxa"/>
            <w:gridSpan w:val="3"/>
            <w:noWrap w:val="0"/>
            <w:vAlign w:val="center"/>
          </w:tcPr>
          <w:p w14:paraId="4432645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无偏差</w:t>
            </w:r>
          </w:p>
        </w:tc>
      </w:tr>
      <w:tr w14:paraId="7D04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158DC20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846" w:type="dxa"/>
            <w:vMerge w:val="continue"/>
            <w:noWrap w:val="0"/>
            <w:vAlign w:val="center"/>
          </w:tcPr>
          <w:p w14:paraId="4D353DFE">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489" w:type="dxa"/>
            <w:gridSpan w:val="2"/>
            <w:noWrap w:val="0"/>
            <w:vAlign w:val="center"/>
          </w:tcPr>
          <w:p w14:paraId="4DAD90D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000000"/>
                <w:kern w:val="0"/>
                <w:sz w:val="18"/>
                <w:szCs w:val="18"/>
              </w:rPr>
            </w:pPr>
            <w:r>
              <w:rPr>
                <w:rFonts w:ascii="宋体" w:hAnsi="宋体"/>
                <w:color w:val="000000"/>
                <w:kern w:val="0"/>
                <w:sz w:val="18"/>
                <w:szCs w:val="18"/>
              </w:rPr>
              <w:t>成本指标</w:t>
            </w:r>
          </w:p>
        </w:tc>
        <w:tc>
          <w:tcPr>
            <w:tcW w:w="970" w:type="dxa"/>
            <w:noWrap w:val="0"/>
            <w:vAlign w:val="center"/>
          </w:tcPr>
          <w:p w14:paraId="3CDD727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成本控制</w:t>
            </w:r>
          </w:p>
        </w:tc>
        <w:tc>
          <w:tcPr>
            <w:tcW w:w="1299" w:type="dxa"/>
            <w:noWrap w:val="0"/>
            <w:vAlign w:val="center"/>
          </w:tcPr>
          <w:p w14:paraId="2DAF91C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预算</w:t>
            </w:r>
            <w:r>
              <w:rPr>
                <w:rFonts w:hint="eastAsia" w:ascii="宋体" w:hAnsi="宋体"/>
                <w:color w:val="000000"/>
                <w:kern w:val="0"/>
                <w:sz w:val="18"/>
                <w:szCs w:val="18"/>
              </w:rPr>
              <w:t>18</w:t>
            </w:r>
            <w:r>
              <w:rPr>
                <w:rFonts w:ascii="宋体" w:hAnsi="宋体"/>
                <w:color w:val="000000"/>
                <w:kern w:val="0"/>
                <w:sz w:val="18"/>
                <w:szCs w:val="18"/>
              </w:rPr>
              <w:t>万元，</w:t>
            </w:r>
          </w:p>
        </w:tc>
        <w:tc>
          <w:tcPr>
            <w:tcW w:w="1413" w:type="dxa"/>
            <w:noWrap w:val="0"/>
            <w:vAlign w:val="center"/>
          </w:tcPr>
          <w:p w14:paraId="18D605E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ascii="宋体" w:hAnsi="宋体"/>
                <w:color w:val="000000"/>
                <w:kern w:val="0"/>
                <w:sz w:val="18"/>
                <w:szCs w:val="18"/>
              </w:rPr>
              <w:t>支出</w:t>
            </w:r>
            <w:r>
              <w:rPr>
                <w:rFonts w:hint="eastAsia" w:ascii="宋体" w:hAnsi="宋体"/>
                <w:color w:val="000000"/>
                <w:kern w:val="0"/>
                <w:sz w:val="18"/>
                <w:szCs w:val="18"/>
              </w:rPr>
              <w:t>17.75</w:t>
            </w:r>
            <w:r>
              <w:rPr>
                <w:rFonts w:ascii="宋体" w:hAnsi="宋体"/>
                <w:color w:val="000000"/>
                <w:kern w:val="0"/>
                <w:sz w:val="18"/>
                <w:szCs w:val="18"/>
              </w:rPr>
              <w:t>万元</w:t>
            </w:r>
          </w:p>
        </w:tc>
        <w:tc>
          <w:tcPr>
            <w:tcW w:w="2063" w:type="dxa"/>
            <w:gridSpan w:val="3"/>
            <w:noWrap w:val="0"/>
            <w:vAlign w:val="center"/>
          </w:tcPr>
          <w:p w14:paraId="3AB21D7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r>
      <w:tr w14:paraId="6FD6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06E8C6F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FF0000"/>
                <w:kern w:val="0"/>
                <w:sz w:val="18"/>
                <w:szCs w:val="18"/>
              </w:rPr>
            </w:pPr>
          </w:p>
        </w:tc>
        <w:tc>
          <w:tcPr>
            <w:tcW w:w="846" w:type="dxa"/>
            <w:vMerge w:val="continue"/>
            <w:noWrap w:val="0"/>
            <w:vAlign w:val="center"/>
          </w:tcPr>
          <w:p w14:paraId="26A0907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FF0000"/>
                <w:kern w:val="0"/>
                <w:sz w:val="18"/>
                <w:szCs w:val="18"/>
              </w:rPr>
            </w:pPr>
          </w:p>
        </w:tc>
        <w:tc>
          <w:tcPr>
            <w:tcW w:w="1489" w:type="dxa"/>
            <w:gridSpan w:val="2"/>
            <w:noWrap w:val="0"/>
            <w:vAlign w:val="center"/>
          </w:tcPr>
          <w:p w14:paraId="688C655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社会效益指标</w:t>
            </w:r>
          </w:p>
        </w:tc>
        <w:tc>
          <w:tcPr>
            <w:tcW w:w="970" w:type="dxa"/>
            <w:noWrap w:val="0"/>
            <w:vAlign w:val="center"/>
          </w:tcPr>
          <w:p w14:paraId="51C872C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p>
        </w:tc>
        <w:tc>
          <w:tcPr>
            <w:tcW w:w="1299" w:type="dxa"/>
            <w:noWrap w:val="0"/>
            <w:vAlign w:val="center"/>
          </w:tcPr>
          <w:p w14:paraId="039F7C8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p>
        </w:tc>
        <w:tc>
          <w:tcPr>
            <w:tcW w:w="1413" w:type="dxa"/>
            <w:noWrap w:val="0"/>
            <w:vAlign w:val="center"/>
          </w:tcPr>
          <w:p w14:paraId="66D7B90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p>
        </w:tc>
        <w:tc>
          <w:tcPr>
            <w:tcW w:w="2063" w:type="dxa"/>
            <w:gridSpan w:val="3"/>
            <w:noWrap w:val="0"/>
            <w:vAlign w:val="center"/>
          </w:tcPr>
          <w:p w14:paraId="5A641AF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p>
        </w:tc>
      </w:tr>
      <w:tr w14:paraId="6C05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27B51E5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FF0000"/>
                <w:kern w:val="0"/>
                <w:sz w:val="18"/>
                <w:szCs w:val="18"/>
              </w:rPr>
            </w:pPr>
          </w:p>
        </w:tc>
        <w:tc>
          <w:tcPr>
            <w:tcW w:w="846" w:type="dxa"/>
            <w:noWrap w:val="0"/>
            <w:vAlign w:val="center"/>
          </w:tcPr>
          <w:p w14:paraId="7F6E729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满意度</w:t>
            </w:r>
          </w:p>
          <w:p w14:paraId="49154F8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FF0000"/>
                <w:kern w:val="0"/>
                <w:sz w:val="18"/>
                <w:szCs w:val="18"/>
              </w:rPr>
            </w:pPr>
            <w:r>
              <w:rPr>
                <w:rFonts w:hint="eastAsia" w:ascii="宋体" w:hAnsi="宋体"/>
                <w:color w:val="000000"/>
                <w:kern w:val="0"/>
                <w:sz w:val="18"/>
                <w:szCs w:val="18"/>
              </w:rPr>
              <w:t>指标</w:t>
            </w:r>
          </w:p>
        </w:tc>
        <w:tc>
          <w:tcPr>
            <w:tcW w:w="1489" w:type="dxa"/>
            <w:gridSpan w:val="2"/>
            <w:noWrap w:val="0"/>
            <w:vAlign w:val="center"/>
          </w:tcPr>
          <w:p w14:paraId="6903FC6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满意度指标</w:t>
            </w:r>
          </w:p>
        </w:tc>
        <w:tc>
          <w:tcPr>
            <w:tcW w:w="970" w:type="dxa"/>
            <w:noWrap w:val="0"/>
            <w:vAlign w:val="center"/>
          </w:tcPr>
          <w:p w14:paraId="1D8D360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使用人满意度</w:t>
            </w:r>
          </w:p>
        </w:tc>
        <w:tc>
          <w:tcPr>
            <w:tcW w:w="1299" w:type="dxa"/>
            <w:noWrap w:val="0"/>
            <w:vAlign w:val="center"/>
          </w:tcPr>
          <w:p w14:paraId="2995B50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kern w:val="0"/>
                <w:sz w:val="18"/>
                <w:szCs w:val="18"/>
              </w:rPr>
            </w:pPr>
            <w:r>
              <w:rPr>
                <w:rFonts w:hint="eastAsia" w:ascii="宋体" w:hAnsi="宋体"/>
                <w:color w:val="000000"/>
                <w:kern w:val="0"/>
                <w:sz w:val="18"/>
                <w:szCs w:val="18"/>
              </w:rPr>
              <w:t>≥95%</w:t>
            </w:r>
          </w:p>
        </w:tc>
        <w:tc>
          <w:tcPr>
            <w:tcW w:w="1413" w:type="dxa"/>
            <w:noWrap w:val="0"/>
            <w:vAlign w:val="center"/>
          </w:tcPr>
          <w:p w14:paraId="434D6CB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≥95%</w:t>
            </w:r>
          </w:p>
        </w:tc>
        <w:tc>
          <w:tcPr>
            <w:tcW w:w="2063" w:type="dxa"/>
            <w:gridSpan w:val="3"/>
            <w:noWrap w:val="0"/>
            <w:vAlign w:val="center"/>
          </w:tcPr>
          <w:p w14:paraId="5A5CDB7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kern w:val="0"/>
                <w:sz w:val="18"/>
                <w:szCs w:val="18"/>
              </w:rPr>
            </w:pPr>
          </w:p>
        </w:tc>
      </w:tr>
    </w:tbl>
    <w:p w14:paraId="71D70AA4">
      <w:pPr>
        <w:spacing w:line="590" w:lineRule="exact"/>
        <w:jc w:val="center"/>
        <w:rPr>
          <w:rFonts w:hint="eastAsia" w:ascii="宋体" w:hAnsi="宋体" w:eastAsia="方正小标宋简体" w:cs="方正小标宋简体"/>
          <w:color w:val="000000"/>
          <w:spacing w:val="-12"/>
          <w:kern w:val="0"/>
          <w:sz w:val="44"/>
          <w:szCs w:val="44"/>
        </w:rPr>
      </w:pPr>
    </w:p>
    <w:p w14:paraId="3E3DA2BE">
      <w:pPr>
        <w:spacing w:line="590" w:lineRule="exact"/>
        <w:jc w:val="center"/>
        <w:rPr>
          <w:rFonts w:hint="eastAsia" w:ascii="宋体" w:hAnsi="宋体" w:eastAsia="方正小标宋简体" w:cs="方正小标宋简体"/>
          <w:color w:val="000000"/>
          <w:spacing w:val="-12"/>
          <w:kern w:val="0"/>
          <w:sz w:val="44"/>
          <w:szCs w:val="44"/>
        </w:rPr>
      </w:pPr>
    </w:p>
    <w:p w14:paraId="62B17C32">
      <w:pPr>
        <w:spacing w:line="590" w:lineRule="exact"/>
        <w:jc w:val="center"/>
        <w:rPr>
          <w:rFonts w:hint="eastAsia" w:ascii="宋体" w:hAnsi="宋体" w:eastAsia="方正小标宋简体" w:cs="方正小标宋简体"/>
          <w:color w:val="000000"/>
          <w:spacing w:val="-12"/>
          <w:kern w:val="0"/>
          <w:sz w:val="44"/>
          <w:szCs w:val="44"/>
        </w:rPr>
      </w:pPr>
    </w:p>
    <w:p w14:paraId="02244B7D">
      <w:pPr>
        <w:pStyle w:val="2"/>
        <w:rPr>
          <w:rFonts w:hint="eastAsia" w:ascii="宋体" w:hAnsi="宋体" w:eastAsia="方正小标宋简体" w:cs="方正小标宋简体"/>
          <w:color w:val="000000"/>
          <w:spacing w:val="-12"/>
          <w:kern w:val="0"/>
          <w:sz w:val="44"/>
          <w:szCs w:val="44"/>
        </w:rPr>
      </w:pPr>
    </w:p>
    <w:p w14:paraId="77AACF78">
      <w:pPr>
        <w:pStyle w:val="3"/>
        <w:rPr>
          <w:rFonts w:hint="eastAsia" w:ascii="宋体" w:hAnsi="宋体" w:eastAsia="方正小标宋简体" w:cs="方正小标宋简体"/>
          <w:color w:val="000000"/>
          <w:spacing w:val="-12"/>
          <w:kern w:val="0"/>
          <w:sz w:val="44"/>
          <w:szCs w:val="44"/>
        </w:rPr>
      </w:pPr>
    </w:p>
    <w:p w14:paraId="400DD3E1">
      <w:pPr>
        <w:rPr>
          <w:rFonts w:hint="eastAsia" w:ascii="宋体" w:hAnsi="宋体" w:eastAsia="方正小标宋简体" w:cs="方正小标宋简体"/>
          <w:color w:val="000000"/>
          <w:spacing w:val="-12"/>
          <w:kern w:val="0"/>
          <w:sz w:val="44"/>
          <w:szCs w:val="44"/>
        </w:rPr>
      </w:pPr>
    </w:p>
    <w:p w14:paraId="19B2D851">
      <w:pPr>
        <w:pStyle w:val="2"/>
        <w:rPr>
          <w:rFonts w:hint="eastAsia" w:ascii="宋体" w:hAnsi="宋体" w:eastAsia="方正小标宋简体" w:cs="方正小标宋简体"/>
          <w:color w:val="000000"/>
          <w:spacing w:val="-12"/>
          <w:kern w:val="0"/>
          <w:sz w:val="44"/>
          <w:szCs w:val="44"/>
        </w:rPr>
      </w:pPr>
    </w:p>
    <w:p w14:paraId="5A7493A5">
      <w:pPr>
        <w:pStyle w:val="3"/>
        <w:rPr>
          <w:rFonts w:hint="eastAsia" w:ascii="宋体" w:hAnsi="宋体" w:eastAsia="方正小标宋简体" w:cs="方正小标宋简体"/>
          <w:color w:val="000000"/>
          <w:spacing w:val="-12"/>
          <w:kern w:val="0"/>
          <w:sz w:val="44"/>
          <w:szCs w:val="44"/>
        </w:rPr>
      </w:pPr>
    </w:p>
    <w:p w14:paraId="56BA47D1">
      <w:pPr>
        <w:rPr>
          <w:rFonts w:hint="eastAsia"/>
        </w:rPr>
      </w:pPr>
    </w:p>
    <w:p w14:paraId="47D2DCDE">
      <w:pPr>
        <w:pStyle w:val="2"/>
        <w:rPr>
          <w:rFonts w:hint="eastAsia" w:ascii="宋体" w:hAnsi="宋体" w:eastAsia="方正小标宋简体" w:cs="方正小标宋简体"/>
          <w:color w:val="000000"/>
          <w:spacing w:val="-12"/>
          <w:kern w:val="0"/>
          <w:sz w:val="44"/>
          <w:szCs w:val="44"/>
        </w:rPr>
      </w:pPr>
    </w:p>
    <w:p w14:paraId="56718B51">
      <w:pPr>
        <w:pStyle w:val="3"/>
        <w:rPr>
          <w:rFonts w:hint="eastAsia" w:ascii="宋体" w:hAnsi="宋体" w:eastAsia="方正小标宋简体" w:cs="方正小标宋简体"/>
          <w:color w:val="000000"/>
          <w:spacing w:val="-12"/>
          <w:kern w:val="0"/>
          <w:sz w:val="44"/>
          <w:szCs w:val="44"/>
        </w:rPr>
      </w:pPr>
    </w:p>
    <w:p w14:paraId="4F533529">
      <w:pPr>
        <w:rPr>
          <w:rFonts w:hint="eastAsia" w:ascii="宋体" w:hAnsi="宋体" w:eastAsia="方正小标宋简体" w:cs="方正小标宋简体"/>
          <w:color w:val="000000"/>
          <w:spacing w:val="-12"/>
          <w:kern w:val="0"/>
          <w:sz w:val="44"/>
          <w:szCs w:val="44"/>
        </w:rPr>
      </w:pPr>
    </w:p>
    <w:p w14:paraId="78852CF4">
      <w:pPr>
        <w:pStyle w:val="2"/>
        <w:rPr>
          <w:rFonts w:hint="eastAsia" w:ascii="宋体" w:hAnsi="宋体" w:eastAsia="方正小标宋简体" w:cs="方正小标宋简体"/>
          <w:color w:val="000000"/>
          <w:spacing w:val="-12"/>
          <w:kern w:val="0"/>
          <w:sz w:val="44"/>
          <w:szCs w:val="44"/>
        </w:rPr>
      </w:pPr>
    </w:p>
    <w:p w14:paraId="1C6CBFB6">
      <w:pPr>
        <w:spacing w:line="590" w:lineRule="exact"/>
        <w:jc w:val="left"/>
        <w:rPr>
          <w:rFonts w:hint="default" w:ascii="宋体" w:hAnsi="宋体" w:eastAsia="方正小标宋简体" w:cs="方正小标宋简体"/>
          <w:color w:val="000000"/>
          <w:spacing w:val="-12"/>
          <w:kern w:val="0"/>
          <w:sz w:val="32"/>
          <w:szCs w:val="32"/>
          <w:lang w:val="en-US" w:eastAsia="zh-CN"/>
        </w:rPr>
      </w:pPr>
      <w:r>
        <w:rPr>
          <w:rFonts w:hint="eastAsia" w:ascii="宋体" w:hAnsi="宋体" w:eastAsia="方正小标宋简体" w:cs="方正小标宋简体"/>
          <w:color w:val="000000"/>
          <w:spacing w:val="-12"/>
          <w:kern w:val="0"/>
          <w:sz w:val="32"/>
          <w:szCs w:val="32"/>
          <w:lang w:eastAsia="zh-CN"/>
        </w:rPr>
        <w:t>附件</w:t>
      </w:r>
      <w:r>
        <w:rPr>
          <w:rFonts w:hint="eastAsia" w:ascii="宋体" w:hAnsi="宋体" w:eastAsia="方正小标宋简体" w:cs="方正小标宋简体"/>
          <w:color w:val="000000"/>
          <w:spacing w:val="-12"/>
          <w:kern w:val="0"/>
          <w:sz w:val="32"/>
          <w:szCs w:val="32"/>
          <w:lang w:val="en-US" w:eastAsia="zh-CN"/>
        </w:rPr>
        <w:t>3</w:t>
      </w:r>
    </w:p>
    <w:p w14:paraId="6044BF0A">
      <w:pPr>
        <w:spacing w:line="590" w:lineRule="exact"/>
        <w:jc w:val="center"/>
        <w:rPr>
          <w:rFonts w:hint="eastAsia" w:ascii="宋体" w:hAnsi="宋体" w:eastAsia="方正小标宋简体" w:cs="方正小标宋简体"/>
          <w:color w:val="000000"/>
          <w:spacing w:val="-12"/>
          <w:kern w:val="0"/>
          <w:sz w:val="44"/>
          <w:szCs w:val="44"/>
        </w:rPr>
      </w:pPr>
      <w:r>
        <w:rPr>
          <w:rFonts w:hint="eastAsia" w:ascii="宋体" w:hAnsi="宋体" w:eastAsia="方正小标宋简体" w:cs="方正小标宋简体"/>
          <w:color w:val="000000"/>
          <w:spacing w:val="-12"/>
          <w:kern w:val="0"/>
          <w:sz w:val="44"/>
          <w:szCs w:val="44"/>
        </w:rPr>
        <w:t>202</w:t>
      </w:r>
      <w:r>
        <w:rPr>
          <w:rFonts w:hint="eastAsia" w:ascii="宋体" w:hAnsi="宋体" w:eastAsia="方正小标宋简体" w:cs="方正小标宋简体"/>
          <w:color w:val="000000"/>
          <w:spacing w:val="-12"/>
          <w:kern w:val="0"/>
          <w:sz w:val="44"/>
          <w:szCs w:val="44"/>
          <w:lang w:val="en-US" w:eastAsia="zh-CN"/>
        </w:rPr>
        <w:t>3</w:t>
      </w:r>
      <w:r>
        <w:rPr>
          <w:rFonts w:hint="eastAsia" w:ascii="宋体" w:hAnsi="宋体" w:eastAsia="方正小标宋简体" w:cs="方正小标宋简体"/>
          <w:color w:val="000000"/>
          <w:spacing w:val="-12"/>
          <w:kern w:val="0"/>
          <w:sz w:val="44"/>
          <w:szCs w:val="44"/>
        </w:rPr>
        <w:t>年市级项目支出绩效自评报告</w:t>
      </w:r>
    </w:p>
    <w:p w14:paraId="4441A321">
      <w:pPr>
        <w:spacing w:line="590" w:lineRule="exact"/>
        <w:jc w:val="center"/>
        <w:rPr>
          <w:rFonts w:ascii="宋体" w:hAnsi="宋体" w:eastAsia="方正楷体简体"/>
          <w:b/>
          <w:sz w:val="32"/>
          <w:szCs w:val="32"/>
        </w:rPr>
      </w:pPr>
      <w:r>
        <w:rPr>
          <w:rFonts w:ascii="宋体" w:hAnsi="宋体" w:eastAsia="方正楷体简体"/>
          <w:b/>
          <w:sz w:val="32"/>
          <w:szCs w:val="32"/>
        </w:rPr>
        <w:t>（</w:t>
      </w:r>
      <w:r>
        <w:rPr>
          <w:rFonts w:hint="eastAsia" w:ascii="宋体" w:hAnsi="宋体" w:eastAsia="方正楷体简体"/>
          <w:b/>
          <w:sz w:val="32"/>
          <w:szCs w:val="32"/>
        </w:rPr>
        <w:t>平安建设-市域社会治理现代化试点工作</w:t>
      </w:r>
      <w:r>
        <w:rPr>
          <w:rFonts w:ascii="宋体" w:hAnsi="宋体" w:eastAsia="方正楷体简体"/>
          <w:b/>
          <w:sz w:val="32"/>
          <w:szCs w:val="32"/>
        </w:rPr>
        <w:t>）</w:t>
      </w:r>
    </w:p>
    <w:p w14:paraId="498355C6">
      <w:pPr>
        <w:pStyle w:val="2"/>
        <w:spacing w:after="0" w:line="590" w:lineRule="exact"/>
        <w:rPr>
          <w:rFonts w:ascii="宋体" w:hAnsi="宋体" w:eastAsia="方正仿宋简体"/>
          <w:sz w:val="32"/>
          <w:szCs w:val="32"/>
        </w:rPr>
      </w:pPr>
    </w:p>
    <w:p w14:paraId="6B4FCA23">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textAlignment w:val="auto"/>
        <w:rPr>
          <w:rFonts w:ascii="宋体" w:hAnsi="宋体" w:eastAsia="方正黑体简体"/>
          <w:sz w:val="33"/>
          <w:szCs w:val="33"/>
        </w:rPr>
      </w:pPr>
      <w:r>
        <w:rPr>
          <w:rFonts w:ascii="宋体" w:hAnsi="宋体" w:eastAsia="方正黑体简体"/>
          <w:sz w:val="33"/>
          <w:szCs w:val="33"/>
        </w:rPr>
        <w:t>一、项目基本情况</w:t>
      </w:r>
    </w:p>
    <w:p w14:paraId="5141BFAD">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3" w:firstLineChars="200"/>
        <w:textAlignment w:val="auto"/>
        <w:rPr>
          <w:rFonts w:ascii="宋体" w:hAnsi="宋体" w:eastAsia="方正仿宋简体" w:cs="方正仿宋简体"/>
          <w:b/>
          <w:sz w:val="33"/>
          <w:szCs w:val="33"/>
        </w:rPr>
      </w:pPr>
      <w:r>
        <w:rPr>
          <w:rFonts w:hint="eastAsia" w:ascii="宋体" w:hAnsi="宋体" w:eastAsia="方正仿宋简体" w:cs="方正仿宋简体"/>
          <w:b/>
          <w:sz w:val="33"/>
          <w:szCs w:val="33"/>
        </w:rPr>
        <w:t>1.</w:t>
      </w:r>
      <w:r>
        <w:rPr>
          <w:rFonts w:ascii="宋体" w:hAnsi="宋体" w:eastAsia="方正仿宋简体" w:cs="方正仿宋简体"/>
          <w:b/>
          <w:sz w:val="33"/>
          <w:szCs w:val="33"/>
        </w:rPr>
        <w:t>概况</w:t>
      </w:r>
    </w:p>
    <w:p w14:paraId="7ADF5F87">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textAlignment w:val="auto"/>
        <w:rPr>
          <w:rFonts w:hint="eastAsia" w:ascii="宋体" w:hAnsi="宋体" w:eastAsia="方正仿宋简体" w:cs="方正仿宋简体"/>
          <w:sz w:val="33"/>
          <w:szCs w:val="33"/>
        </w:rPr>
      </w:pPr>
      <w:r>
        <w:rPr>
          <w:rFonts w:ascii="宋体" w:hAnsi="宋体" w:eastAsia="方正仿宋简体" w:cs="方正仿宋简体"/>
          <w:sz w:val="33"/>
          <w:szCs w:val="33"/>
        </w:rPr>
        <w:t>（1）立项背景及目的</w:t>
      </w:r>
    </w:p>
    <w:p w14:paraId="62CCB446">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textAlignment w:val="auto"/>
        <w:rPr>
          <w:rFonts w:hint="eastAsia" w:ascii="宋体" w:hAnsi="宋体" w:eastAsia="方正仿宋简体" w:cs="方正仿宋简体"/>
          <w:sz w:val="33"/>
          <w:szCs w:val="33"/>
        </w:rPr>
      </w:pPr>
      <w:r>
        <w:rPr>
          <w:rFonts w:hint="eastAsia" w:ascii="宋体" w:hAnsi="宋体" w:eastAsia="方正仿宋简体" w:cs="方正仿宋简体"/>
          <w:sz w:val="33"/>
          <w:szCs w:val="33"/>
        </w:rPr>
        <w:t>中央决定以市域社会治理现代化为切入点，建设更高水平的平安中国。中央政法委、省委政法委先后</w:t>
      </w:r>
      <w:r>
        <w:rPr>
          <w:rFonts w:hint="eastAsia" w:ascii="宋体" w:hAnsi="宋体" w:eastAsia="方正仿宋简体" w:cs="方正仿宋简体"/>
          <w:sz w:val="33"/>
          <w:szCs w:val="33"/>
          <w:lang w:eastAsia="zh-CN"/>
        </w:rPr>
        <w:t>召开了</w:t>
      </w:r>
      <w:r>
        <w:rPr>
          <w:rFonts w:hint="default" w:ascii="宋体" w:hAnsi="宋体" w:eastAsia="方正仿宋简体" w:cs="方正仿宋简体"/>
          <w:sz w:val="33"/>
          <w:szCs w:val="33"/>
          <w:lang w:val="en"/>
        </w:rPr>
        <w:t>3</w:t>
      </w:r>
      <w:r>
        <w:rPr>
          <w:rFonts w:hint="eastAsia" w:ascii="宋体" w:hAnsi="宋体" w:eastAsia="方正仿宋简体" w:cs="方正仿宋简体"/>
          <w:sz w:val="33"/>
          <w:szCs w:val="33"/>
          <w:lang w:val="en" w:eastAsia="zh-CN"/>
        </w:rPr>
        <w:t>次</w:t>
      </w:r>
      <w:r>
        <w:rPr>
          <w:rFonts w:hint="eastAsia" w:ascii="宋体" w:hAnsi="宋体" w:eastAsia="方正仿宋简体" w:cs="方正仿宋简体"/>
          <w:sz w:val="33"/>
          <w:szCs w:val="33"/>
        </w:rPr>
        <w:t>专题会议进行部署推动，并明确了全国市域社会治理现代化第一、二期试点名单，资阳为第二期试点地区。同时，制发了《关于推进市域社会治理现代化的意见（试行）》《全国市域社会治理现代化试点工作实施方案》</w:t>
      </w:r>
      <w:r>
        <w:rPr>
          <w:rFonts w:hint="eastAsia" w:ascii="宋体" w:hAnsi="宋体" w:eastAsia="方正仿宋简体" w:cs="方正仿宋简体"/>
          <w:sz w:val="33"/>
          <w:szCs w:val="33"/>
          <w:lang w:eastAsia="zh-CN"/>
        </w:rPr>
        <w:t>《全国市域社会治理现代化试点工作指引》《全国市域社会治理现代化试点四川省区域特色工作指引》</w:t>
      </w:r>
      <w:r>
        <w:rPr>
          <w:rFonts w:hint="eastAsia" w:ascii="宋体" w:hAnsi="宋体" w:eastAsia="方正仿宋简体" w:cs="方正仿宋简体"/>
          <w:sz w:val="33"/>
          <w:szCs w:val="33"/>
        </w:rPr>
        <w:t>等多个文件，对市域社会治理现代化试点工作作出具体部署。</w:t>
      </w:r>
    </w:p>
    <w:p w14:paraId="17A6C10A">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textAlignment w:val="auto"/>
        <w:rPr>
          <w:rFonts w:hint="eastAsia" w:ascii="宋体" w:hAnsi="宋体" w:eastAsia="方正仿宋简体" w:cs="方正仿宋简体"/>
          <w:sz w:val="33"/>
          <w:szCs w:val="33"/>
        </w:rPr>
      </w:pPr>
      <w:r>
        <w:rPr>
          <w:rFonts w:hint="eastAsia" w:ascii="宋体" w:hAnsi="宋体" w:eastAsia="方正仿宋简体" w:cs="方正仿宋简体"/>
          <w:sz w:val="33"/>
          <w:szCs w:val="33"/>
        </w:rPr>
        <w:t>（2）</w:t>
      </w:r>
      <w:r>
        <w:rPr>
          <w:rFonts w:ascii="宋体" w:hAnsi="宋体" w:eastAsia="方正仿宋简体" w:cs="方正仿宋简体"/>
          <w:sz w:val="33"/>
          <w:szCs w:val="33"/>
        </w:rPr>
        <w:t>预算资金来源及使用情况</w:t>
      </w:r>
    </w:p>
    <w:p w14:paraId="29E933A1">
      <w:pPr>
        <w:pStyle w:val="2"/>
        <w:keepNext w:val="0"/>
        <w:keepLines w:val="0"/>
        <w:pageBreakBefore w:val="0"/>
        <w:widowControl w:val="0"/>
        <w:kinsoku/>
        <w:wordWrap/>
        <w:overflowPunct/>
        <w:topLinePunct w:val="0"/>
        <w:autoSpaceDE/>
        <w:autoSpaceDN/>
        <w:bidi w:val="0"/>
        <w:adjustRightInd/>
        <w:snapToGrid/>
        <w:spacing w:after="0" w:line="590" w:lineRule="exact"/>
        <w:ind w:firstLine="660" w:firstLineChars="200"/>
        <w:textAlignment w:val="auto"/>
        <w:rPr>
          <w:rFonts w:hint="eastAsia" w:ascii="宋体" w:hAnsi="宋体" w:eastAsia="方正仿宋简体" w:cs="方正仿宋简体"/>
          <w:sz w:val="33"/>
          <w:szCs w:val="33"/>
          <w:lang w:val="en-US" w:eastAsia="zh-CN"/>
        </w:rPr>
      </w:pPr>
      <w:r>
        <w:rPr>
          <w:rFonts w:hint="eastAsia" w:ascii="宋体" w:hAnsi="宋体" w:eastAsia="方正仿宋简体" w:cs="方正仿宋简体"/>
          <w:sz w:val="33"/>
          <w:szCs w:val="33"/>
        </w:rPr>
        <w:t>202</w:t>
      </w:r>
      <w:r>
        <w:rPr>
          <w:rFonts w:hint="eastAsia" w:ascii="宋体" w:hAnsi="宋体" w:eastAsia="方正仿宋简体" w:cs="方正仿宋简体"/>
          <w:sz w:val="33"/>
          <w:szCs w:val="33"/>
          <w:lang w:val="en-US" w:eastAsia="zh-CN"/>
        </w:rPr>
        <w:t>3</w:t>
      </w:r>
      <w:r>
        <w:rPr>
          <w:rFonts w:hint="eastAsia" w:ascii="宋体" w:hAnsi="宋体" w:eastAsia="方正仿宋简体" w:cs="方正仿宋简体"/>
          <w:sz w:val="33"/>
          <w:szCs w:val="33"/>
        </w:rPr>
        <w:t>年安排平安建设-市域社会治理现代化试点工作经费</w:t>
      </w:r>
      <w:r>
        <w:rPr>
          <w:rFonts w:hint="eastAsia" w:ascii="宋体" w:hAnsi="宋体" w:eastAsia="方正仿宋简体" w:cs="方正仿宋简体"/>
          <w:sz w:val="33"/>
          <w:szCs w:val="33"/>
          <w:lang w:val="en-US" w:eastAsia="zh-CN"/>
        </w:rPr>
        <w:t>70万元，</w:t>
      </w:r>
      <w:r>
        <w:rPr>
          <w:rFonts w:hint="eastAsia" w:ascii="宋体" w:hAnsi="宋体" w:eastAsia="方正仿宋简体" w:cs="方正仿宋简体"/>
          <w:sz w:val="33"/>
          <w:szCs w:val="33"/>
        </w:rPr>
        <w:t>全部为财政拨款，项目资金到位率100%，实际支出</w:t>
      </w:r>
      <w:r>
        <w:rPr>
          <w:rFonts w:hint="eastAsia" w:ascii="宋体" w:hAnsi="宋体" w:eastAsia="方正仿宋简体" w:cs="方正仿宋简体"/>
          <w:sz w:val="33"/>
          <w:szCs w:val="33"/>
          <w:lang w:val="en-US" w:eastAsia="zh-CN"/>
        </w:rPr>
        <w:t>70</w:t>
      </w:r>
      <w:r>
        <w:rPr>
          <w:rFonts w:hint="eastAsia" w:ascii="宋体" w:hAnsi="宋体" w:eastAsia="方正仿宋简体" w:cs="方正仿宋简体"/>
          <w:sz w:val="33"/>
          <w:szCs w:val="33"/>
        </w:rPr>
        <w:t>万元。</w:t>
      </w:r>
    </w:p>
    <w:p w14:paraId="19921C17">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3" w:firstLineChars="200"/>
        <w:textAlignment w:val="auto"/>
        <w:rPr>
          <w:rFonts w:hint="eastAsia" w:ascii="宋体" w:hAnsi="宋体" w:eastAsia="方正仿宋简体"/>
          <w:b/>
          <w:color w:val="auto"/>
          <w:sz w:val="33"/>
          <w:szCs w:val="33"/>
        </w:rPr>
      </w:pPr>
      <w:r>
        <w:rPr>
          <w:rFonts w:hint="eastAsia" w:ascii="宋体" w:hAnsi="宋体" w:eastAsia="方正仿宋简体"/>
          <w:b/>
          <w:color w:val="auto"/>
          <w:sz w:val="33"/>
          <w:szCs w:val="33"/>
        </w:rPr>
        <w:t>2.</w:t>
      </w:r>
      <w:r>
        <w:rPr>
          <w:rFonts w:ascii="宋体" w:hAnsi="宋体" w:eastAsia="方正仿宋简体"/>
          <w:b/>
          <w:color w:val="auto"/>
          <w:sz w:val="33"/>
          <w:szCs w:val="33"/>
        </w:rPr>
        <w:t>实施情况（项目完成情况）</w:t>
      </w:r>
    </w:p>
    <w:p w14:paraId="451A27E8">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textAlignment w:val="auto"/>
        <w:rPr>
          <w:rFonts w:hint="eastAsia" w:ascii="宋体" w:hAnsi="宋体" w:eastAsia="方正仿宋简体" w:cs="方正仿宋简体"/>
          <w:sz w:val="33"/>
          <w:szCs w:val="33"/>
        </w:rPr>
      </w:pPr>
      <w:r>
        <w:rPr>
          <w:rFonts w:hint="eastAsia" w:ascii="宋体" w:hAnsi="宋体" w:eastAsia="方正仿宋简体" w:cs="方正仿宋简体"/>
          <w:sz w:val="33"/>
          <w:szCs w:val="33"/>
          <w:lang w:eastAsia="zh-CN"/>
        </w:rPr>
        <w:t>强化部署推动</w:t>
      </w:r>
      <w:r>
        <w:rPr>
          <w:rFonts w:hint="eastAsia" w:ascii="宋体" w:hAnsi="宋体" w:eastAsia="方正仿宋简体" w:cs="方正仿宋简体"/>
          <w:sz w:val="33"/>
          <w:szCs w:val="33"/>
        </w:rPr>
        <w:t>，</w:t>
      </w:r>
      <w:r>
        <w:rPr>
          <w:rFonts w:hint="eastAsia" w:ascii="宋体" w:hAnsi="宋体" w:eastAsia="方正仿宋简体" w:cs="方正仿宋简体"/>
          <w:sz w:val="33"/>
          <w:szCs w:val="33"/>
          <w:lang w:eastAsia="zh-CN"/>
        </w:rPr>
        <w:t>组建工作专班，</w:t>
      </w:r>
      <w:r>
        <w:rPr>
          <w:rFonts w:hint="eastAsia" w:ascii="宋体" w:hAnsi="宋体" w:eastAsia="方正仿宋简体" w:cs="方正仿宋简体"/>
          <w:sz w:val="33"/>
          <w:szCs w:val="33"/>
        </w:rPr>
        <w:t>出台《</w:t>
      </w:r>
      <w:r>
        <w:rPr>
          <w:rFonts w:hint="eastAsia" w:ascii="宋体" w:hAnsi="宋体" w:eastAsia="方正仿宋简体" w:cs="方正仿宋简体"/>
          <w:sz w:val="33"/>
          <w:szCs w:val="33"/>
          <w:lang w:val="en"/>
        </w:rPr>
        <w:t>〈</w:t>
      </w:r>
      <w:r>
        <w:rPr>
          <w:rFonts w:hint="eastAsia" w:ascii="宋体" w:hAnsi="宋体" w:eastAsia="方正仿宋简体" w:cs="方正仿宋简体"/>
          <w:sz w:val="33"/>
          <w:szCs w:val="33"/>
        </w:rPr>
        <w:t>关于深入推进平安四川建设若干措施</w:t>
      </w:r>
      <w:r>
        <w:rPr>
          <w:rFonts w:hint="eastAsia" w:ascii="宋体" w:hAnsi="宋体" w:eastAsia="方正仿宋简体" w:cs="方正仿宋简体"/>
          <w:sz w:val="33"/>
          <w:szCs w:val="33"/>
          <w:lang w:val="en"/>
        </w:rPr>
        <w:t>〉</w:t>
      </w:r>
      <w:r>
        <w:rPr>
          <w:rFonts w:hint="eastAsia" w:ascii="宋体" w:hAnsi="宋体" w:eastAsia="方正仿宋简体" w:cs="方正仿宋简体"/>
          <w:sz w:val="33"/>
          <w:szCs w:val="33"/>
        </w:rPr>
        <w:t>责任分工方案》《关于推进平安资阳建设重点任务的分工实施方案》，统揽全市平安建设重点工作。聚焦重点任务，围绕“四个严防发生”工作目标，下先手棋、打主动仗，圆满完成了成都大运安保</w:t>
      </w:r>
      <w:r>
        <w:rPr>
          <w:rFonts w:hint="eastAsia" w:ascii="宋体" w:hAnsi="宋体" w:eastAsia="方正仿宋简体" w:cs="方正仿宋简体"/>
          <w:sz w:val="33"/>
          <w:szCs w:val="33"/>
          <w:lang w:eastAsia="zh-CN"/>
        </w:rPr>
        <w:t>维稳</w:t>
      </w:r>
      <w:r>
        <w:rPr>
          <w:rFonts w:hint="eastAsia" w:ascii="宋体" w:hAnsi="宋体" w:eastAsia="方正仿宋简体" w:cs="方正仿宋简体"/>
          <w:sz w:val="33"/>
          <w:szCs w:val="33"/>
        </w:rPr>
        <w:t>等重大任务</w:t>
      </w:r>
      <w:r>
        <w:rPr>
          <w:rFonts w:hint="eastAsia" w:ascii="宋体" w:hAnsi="宋体" w:eastAsia="方正仿宋简体" w:cs="方正仿宋简体"/>
          <w:sz w:val="33"/>
          <w:szCs w:val="33"/>
          <w:lang w:eastAsia="zh-CN"/>
        </w:rPr>
        <w:t>，我市是大运期间全省无群众在敏感区域上访、到省闹访和滞留的六个市州之一</w:t>
      </w:r>
      <w:r>
        <w:rPr>
          <w:rFonts w:hint="eastAsia" w:ascii="宋体" w:hAnsi="宋体" w:eastAsia="方正仿宋简体" w:cs="方正仿宋简体"/>
          <w:sz w:val="33"/>
          <w:szCs w:val="33"/>
        </w:rPr>
        <w:t>。聚焦影响人民群众安全感的突出问题，扎实推进社会治安重点工作专项行动，</w:t>
      </w:r>
      <w:r>
        <w:rPr>
          <w:rFonts w:hint="eastAsia" w:ascii="宋体" w:hAnsi="宋体" w:eastAsia="方正仿宋_GBK" w:cs="宋体"/>
          <w:b w:val="0"/>
          <w:bCs w:val="0"/>
          <w:color w:val="auto"/>
          <w:kern w:val="2"/>
          <w:sz w:val="33"/>
          <w:szCs w:val="33"/>
          <w:lang w:val="en-US" w:eastAsia="zh-CN" w:bidi="ar-SA"/>
        </w:rPr>
        <w:t>全市刑事、治安案件发案数同比分别下降3</w:t>
      </w:r>
      <w:r>
        <w:rPr>
          <w:rFonts w:hint="default" w:ascii="宋体" w:hAnsi="宋体" w:eastAsia="方正仿宋_GBK" w:cs="宋体"/>
          <w:b w:val="0"/>
          <w:bCs w:val="0"/>
          <w:color w:val="auto"/>
          <w:kern w:val="2"/>
          <w:sz w:val="33"/>
          <w:szCs w:val="33"/>
          <w:lang w:val="en" w:eastAsia="zh-CN" w:bidi="ar-SA"/>
        </w:rPr>
        <w:t>7</w:t>
      </w:r>
      <w:r>
        <w:rPr>
          <w:rFonts w:hint="eastAsia" w:ascii="宋体" w:hAnsi="宋体" w:eastAsia="方正书宋_GBK" w:cs="方正书宋_GBK"/>
          <w:b w:val="0"/>
          <w:bCs w:val="0"/>
          <w:color w:val="auto"/>
          <w:kern w:val="2"/>
          <w:sz w:val="33"/>
          <w:szCs w:val="33"/>
          <w:lang w:val="en-US" w:eastAsia="zh-CN" w:bidi="ar-SA"/>
        </w:rPr>
        <w:t>.</w:t>
      </w:r>
      <w:r>
        <w:rPr>
          <w:rFonts w:hint="default" w:ascii="宋体" w:hAnsi="宋体" w:eastAsia="方正仿宋_GBK" w:cs="宋体"/>
          <w:b w:val="0"/>
          <w:bCs w:val="0"/>
          <w:color w:val="auto"/>
          <w:kern w:val="2"/>
          <w:sz w:val="33"/>
          <w:szCs w:val="33"/>
          <w:lang w:val="en" w:eastAsia="zh-CN" w:bidi="ar-SA"/>
        </w:rPr>
        <w:t>71</w:t>
      </w:r>
      <w:r>
        <w:rPr>
          <w:rFonts w:hint="eastAsia" w:ascii="宋体" w:hAnsi="宋体" w:eastAsia="方正仿宋_GBK" w:cs="宋体"/>
          <w:b w:val="0"/>
          <w:bCs w:val="0"/>
          <w:color w:val="auto"/>
          <w:kern w:val="2"/>
          <w:sz w:val="33"/>
          <w:szCs w:val="33"/>
          <w:lang w:val="en-US" w:eastAsia="zh-CN" w:bidi="ar-SA"/>
        </w:rPr>
        <w:t>%、5</w:t>
      </w:r>
      <w:r>
        <w:rPr>
          <w:rFonts w:hint="default" w:ascii="宋体" w:hAnsi="宋体" w:eastAsia="方正仿宋_GBK" w:cs="宋体"/>
          <w:b w:val="0"/>
          <w:bCs w:val="0"/>
          <w:color w:val="auto"/>
          <w:kern w:val="2"/>
          <w:sz w:val="33"/>
          <w:szCs w:val="33"/>
          <w:lang w:val="en" w:eastAsia="zh-CN" w:bidi="ar-SA"/>
        </w:rPr>
        <w:t>2</w:t>
      </w:r>
      <w:r>
        <w:rPr>
          <w:rFonts w:hint="eastAsia" w:ascii="宋体" w:hAnsi="宋体" w:eastAsia="方正书宋_GBK" w:cs="方正书宋_GBK"/>
          <w:b w:val="0"/>
          <w:bCs w:val="0"/>
          <w:color w:val="auto"/>
          <w:kern w:val="2"/>
          <w:sz w:val="33"/>
          <w:szCs w:val="33"/>
          <w:lang w:val="en-US" w:eastAsia="zh-CN" w:bidi="ar-SA"/>
        </w:rPr>
        <w:t>.</w:t>
      </w:r>
      <w:r>
        <w:rPr>
          <w:rFonts w:hint="default" w:ascii="宋体" w:hAnsi="宋体" w:eastAsia="方正仿宋_GBK" w:cs="宋体"/>
          <w:b w:val="0"/>
          <w:bCs w:val="0"/>
          <w:color w:val="auto"/>
          <w:kern w:val="2"/>
          <w:sz w:val="33"/>
          <w:szCs w:val="33"/>
          <w:lang w:val="en" w:eastAsia="zh-CN" w:bidi="ar-SA"/>
        </w:rPr>
        <w:t>45</w:t>
      </w:r>
      <w:r>
        <w:rPr>
          <w:rFonts w:hint="eastAsia" w:ascii="宋体" w:hAnsi="宋体" w:eastAsia="方正仿宋_GBK" w:cs="宋体"/>
          <w:b w:val="0"/>
          <w:bCs w:val="0"/>
          <w:color w:val="auto"/>
          <w:kern w:val="2"/>
          <w:sz w:val="33"/>
          <w:szCs w:val="33"/>
          <w:lang w:val="en-US" w:eastAsia="zh-CN" w:bidi="ar-SA"/>
        </w:rPr>
        <w:t>%，</w:t>
      </w:r>
      <w:r>
        <w:rPr>
          <w:rFonts w:hint="eastAsia" w:ascii="宋体" w:hAnsi="宋体" w:eastAsia="方正仿宋简体" w:cs="方正仿宋简体"/>
          <w:sz w:val="33"/>
          <w:szCs w:val="33"/>
        </w:rPr>
        <w:t>人民群众对平安建设满意度不断提高。坚持端口</w:t>
      </w:r>
      <w:r>
        <w:rPr>
          <w:rFonts w:hint="eastAsia" w:ascii="宋体" w:hAnsi="宋体" w:eastAsia="方正仿宋简体" w:cs="方正仿宋简体"/>
          <w:sz w:val="33"/>
          <w:szCs w:val="33"/>
          <w:lang w:eastAsia="zh-CN"/>
        </w:rPr>
        <w:t>前移</w:t>
      </w:r>
      <w:r>
        <w:rPr>
          <w:rFonts w:hint="eastAsia" w:ascii="宋体" w:hAnsi="宋体" w:eastAsia="方正仿宋简体" w:cs="方正仿宋简体"/>
          <w:sz w:val="33"/>
          <w:szCs w:val="33"/>
        </w:rPr>
        <w:t>，强化源头防范</w:t>
      </w:r>
      <w:r>
        <w:rPr>
          <w:rFonts w:hint="eastAsia" w:ascii="宋体" w:hAnsi="宋体" w:eastAsia="方正仿宋简体" w:cs="方正仿宋简体"/>
          <w:sz w:val="33"/>
          <w:szCs w:val="33"/>
          <w:lang w:eastAsia="zh-CN"/>
        </w:rPr>
        <w:t>，</w:t>
      </w:r>
      <w:r>
        <w:rPr>
          <w:rFonts w:hint="eastAsia" w:ascii="宋体" w:hAnsi="宋体" w:eastAsia="方正仿宋简体" w:cs="方正仿宋简体"/>
          <w:sz w:val="33"/>
          <w:szCs w:val="33"/>
        </w:rPr>
        <w:t>坚持和发展新时代“枫桥经验”，</w:t>
      </w:r>
      <w:r>
        <w:rPr>
          <w:rFonts w:hint="eastAsia" w:ascii="宋体" w:hAnsi="宋体" w:eastAsia="方正仿宋简体" w:cs="方正仿宋简体"/>
          <w:sz w:val="33"/>
          <w:szCs w:val="33"/>
          <w:lang w:val="en-US" w:eastAsia="zh-CN"/>
        </w:rPr>
        <w:t>98%以上矛盾纠纷化解在镇村一线，“</w:t>
      </w:r>
      <w:r>
        <w:rPr>
          <w:rFonts w:hint="eastAsia" w:ascii="宋体" w:hAnsi="宋体" w:eastAsia="方正仿宋_GBK" w:cs="宋体"/>
          <w:b w:val="0"/>
          <w:bCs w:val="0"/>
          <w:color w:val="auto"/>
          <w:kern w:val="2"/>
          <w:sz w:val="33"/>
          <w:szCs w:val="33"/>
          <w:lang w:val="en-US" w:eastAsia="zh-CN" w:bidi="ar-SA"/>
        </w:rPr>
        <w:t>小镇法官”赋能基层治理经验被中央政法委收录，</w:t>
      </w:r>
      <w:r>
        <w:rPr>
          <w:rFonts w:hint="eastAsia" w:ascii="宋体" w:hAnsi="宋体" w:eastAsia="方正仿宋简体" w:cs="方正仿宋简体"/>
          <w:sz w:val="33"/>
          <w:szCs w:val="33"/>
        </w:rPr>
        <w:t>全市社会大局安定和谐。深入推进各级综治中心实战化，</w:t>
      </w:r>
      <w:r>
        <w:rPr>
          <w:rFonts w:hint="eastAsia" w:ascii="宋体" w:hAnsi="宋体" w:eastAsia="方正仿宋简体" w:cs="方正仿宋简体"/>
          <w:sz w:val="33"/>
          <w:szCs w:val="33"/>
          <w:lang w:eastAsia="zh-CN"/>
        </w:rPr>
        <w:t>完成市综治中心整体搬迁、升级改造，开展</w:t>
      </w:r>
      <w:r>
        <w:rPr>
          <w:rFonts w:hint="eastAsia" w:ascii="宋体" w:hAnsi="宋体" w:eastAsia="方正仿宋简体" w:cs="方正仿宋简体"/>
          <w:sz w:val="33"/>
          <w:szCs w:val="33"/>
        </w:rPr>
        <w:t>市县两级综治中心联合实战科目训练4个</w:t>
      </w:r>
      <w:r>
        <w:rPr>
          <w:rFonts w:hint="eastAsia" w:ascii="宋体" w:hAnsi="宋体" w:eastAsia="方正仿宋简体" w:cs="方正仿宋简体"/>
          <w:sz w:val="33"/>
          <w:szCs w:val="33"/>
          <w:lang w:eastAsia="zh-CN"/>
        </w:rPr>
        <w:t>、</w:t>
      </w:r>
      <w:r>
        <w:rPr>
          <w:rFonts w:hint="eastAsia" w:ascii="宋体" w:hAnsi="宋体" w:eastAsia="方正仿宋简体" w:cs="方正仿宋简体"/>
          <w:sz w:val="33"/>
          <w:szCs w:val="33"/>
        </w:rPr>
        <w:t>县级综治中心实战科目训练8个</w:t>
      </w:r>
      <w:r>
        <w:rPr>
          <w:rFonts w:hint="eastAsia" w:ascii="宋体" w:hAnsi="宋体" w:eastAsia="方正仿宋简体" w:cs="方正仿宋简体"/>
          <w:sz w:val="33"/>
          <w:szCs w:val="33"/>
          <w:lang w:eastAsia="zh-CN"/>
        </w:rPr>
        <w:t>；公共安全视频监控建设及联网应用不断深化，“</w:t>
      </w:r>
      <w:r>
        <w:rPr>
          <w:rFonts w:hint="eastAsia" w:ascii="宋体" w:hAnsi="宋体" w:eastAsia="方正仿宋简体" w:cs="方正仿宋简体"/>
          <w:sz w:val="33"/>
          <w:szCs w:val="33"/>
        </w:rPr>
        <w:t>雪亮工程”视频监控点位平均在线率、出图率、平均经纬度达标率均高于90%</w:t>
      </w:r>
      <w:r>
        <w:rPr>
          <w:rFonts w:hint="eastAsia" w:ascii="宋体" w:hAnsi="宋体" w:eastAsia="方正仿宋简体" w:cs="方正仿宋简体"/>
          <w:sz w:val="33"/>
          <w:szCs w:val="33"/>
          <w:lang w:eastAsia="zh-CN"/>
        </w:rPr>
        <w:t>，</w:t>
      </w:r>
      <w:r>
        <w:rPr>
          <w:rFonts w:hint="eastAsia" w:ascii="宋体" w:hAnsi="宋体" w:eastAsia="方正仿宋简体" w:cs="方正仿宋简体"/>
          <w:sz w:val="33"/>
          <w:szCs w:val="33"/>
        </w:rPr>
        <w:t>服务保障能力水平显著提升。狠抓情报引领，坚持打防并举，</w:t>
      </w:r>
      <w:r>
        <w:rPr>
          <w:rFonts w:hint="eastAsia" w:ascii="宋体" w:hAnsi="宋体" w:eastAsia="方正仿宋简体" w:cs="方正仿宋简体"/>
          <w:sz w:val="33"/>
          <w:szCs w:val="33"/>
          <w:lang w:eastAsia="zh-CN"/>
        </w:rPr>
        <w:t>反邪教、反恐怖斗争不断深入，</w:t>
      </w:r>
      <w:r>
        <w:rPr>
          <w:rFonts w:hint="eastAsia" w:ascii="宋体" w:hAnsi="宋体" w:eastAsia="方正仿宋简体" w:cs="方正仿宋简体"/>
          <w:sz w:val="33"/>
          <w:szCs w:val="33"/>
        </w:rPr>
        <w:t>维护政治安全成效</w:t>
      </w:r>
      <w:r>
        <w:rPr>
          <w:rFonts w:hint="eastAsia" w:ascii="宋体" w:hAnsi="宋体" w:eastAsia="方正仿宋简体" w:cs="方正仿宋简体"/>
          <w:sz w:val="33"/>
          <w:szCs w:val="33"/>
          <w:lang w:eastAsia="zh-CN"/>
        </w:rPr>
        <w:t>明显，“反邪教明白人”工作经验被推荐到中央政法委</w:t>
      </w:r>
      <w:r>
        <w:rPr>
          <w:rFonts w:hint="eastAsia" w:ascii="宋体" w:hAnsi="宋体" w:eastAsia="方正仿宋简体" w:cs="方正仿宋简体"/>
          <w:sz w:val="33"/>
          <w:szCs w:val="33"/>
        </w:rPr>
        <w:t>。强化项目培育</w:t>
      </w:r>
      <w:r>
        <w:rPr>
          <w:rFonts w:hint="eastAsia" w:ascii="宋体" w:hAnsi="宋体" w:eastAsia="方正仿宋简体" w:cs="方正仿宋简体"/>
          <w:sz w:val="33"/>
          <w:szCs w:val="33"/>
          <w:lang w:eastAsia="zh-CN"/>
        </w:rPr>
        <w:t>，</w:t>
      </w:r>
      <w:r>
        <w:rPr>
          <w:rFonts w:hint="eastAsia" w:ascii="宋体" w:hAnsi="宋体" w:eastAsia="方正仿宋简体" w:cs="方正仿宋简体"/>
          <w:sz w:val="33"/>
          <w:szCs w:val="33"/>
        </w:rPr>
        <w:t>充分利用各方资源，探索创新实践路径，奋力推动更高水平的平安资阳建设</w:t>
      </w:r>
      <w:r>
        <w:rPr>
          <w:rFonts w:hint="eastAsia" w:ascii="宋体" w:hAnsi="宋体" w:eastAsia="方正仿宋简体" w:cs="方正仿宋简体"/>
          <w:sz w:val="33"/>
          <w:szCs w:val="33"/>
          <w:lang w:eastAsia="zh-CN"/>
        </w:rPr>
        <w:t>，我市积极推进与重庆毗邻地区平安联建联创工作入选《平安中国年鉴》（</w:t>
      </w:r>
      <w:r>
        <w:rPr>
          <w:rFonts w:hint="eastAsia" w:ascii="宋体" w:hAnsi="宋体" w:eastAsia="方正仿宋简体" w:cs="方正仿宋简体"/>
          <w:sz w:val="33"/>
          <w:szCs w:val="33"/>
          <w:lang w:val="en-US" w:eastAsia="zh-CN"/>
        </w:rPr>
        <w:t>2023</w:t>
      </w:r>
      <w:r>
        <w:rPr>
          <w:rFonts w:hint="eastAsia" w:ascii="宋体" w:hAnsi="宋体" w:eastAsia="方正仿宋简体" w:cs="方正仿宋简体"/>
          <w:sz w:val="33"/>
          <w:szCs w:val="33"/>
          <w:lang w:eastAsia="zh-CN"/>
        </w:rPr>
        <w:t>卷）</w:t>
      </w:r>
      <w:r>
        <w:rPr>
          <w:rFonts w:hint="eastAsia" w:ascii="宋体" w:hAnsi="宋体" w:eastAsia="方正仿宋简体" w:cs="方正仿宋简体"/>
          <w:sz w:val="33"/>
          <w:szCs w:val="33"/>
        </w:rPr>
        <w:t>。</w:t>
      </w:r>
    </w:p>
    <w:p w14:paraId="64B15F45">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3" w:firstLineChars="200"/>
        <w:textAlignment w:val="auto"/>
        <w:rPr>
          <w:rFonts w:ascii="宋体" w:hAnsi="宋体" w:eastAsia="方正仿宋_GBK"/>
          <w:b/>
          <w:color w:val="auto"/>
          <w:sz w:val="33"/>
          <w:szCs w:val="33"/>
        </w:rPr>
      </w:pPr>
      <w:r>
        <w:rPr>
          <w:rFonts w:hint="eastAsia" w:ascii="宋体" w:hAnsi="宋体" w:eastAsia="方正仿宋_GBK"/>
          <w:b/>
          <w:color w:val="auto"/>
          <w:sz w:val="33"/>
          <w:szCs w:val="33"/>
        </w:rPr>
        <w:t>3.</w:t>
      </w:r>
      <w:r>
        <w:rPr>
          <w:rFonts w:ascii="宋体" w:hAnsi="宋体" w:eastAsia="方正仿宋_GBK"/>
          <w:b/>
          <w:color w:val="auto"/>
          <w:sz w:val="33"/>
          <w:szCs w:val="33"/>
        </w:rPr>
        <w:t>组织及管理（项目组织、管理流程及实际执行情况）</w:t>
      </w:r>
    </w:p>
    <w:p w14:paraId="151A4969">
      <w:pPr>
        <w:pStyle w:val="2"/>
        <w:keepNext w:val="0"/>
        <w:keepLines w:val="0"/>
        <w:pageBreakBefore w:val="0"/>
        <w:widowControl w:val="0"/>
        <w:kinsoku/>
        <w:wordWrap/>
        <w:overflowPunct/>
        <w:topLinePunct w:val="0"/>
        <w:autoSpaceDE/>
        <w:autoSpaceDN/>
        <w:bidi w:val="0"/>
        <w:adjustRightInd/>
        <w:snapToGrid/>
        <w:spacing w:after="0" w:line="590" w:lineRule="exact"/>
        <w:ind w:firstLine="660" w:firstLineChars="200"/>
        <w:textAlignment w:val="auto"/>
        <w:rPr>
          <w:rFonts w:hint="eastAsia" w:ascii="宋体" w:hAnsi="宋体" w:eastAsia="方正仿宋_GBK"/>
          <w:sz w:val="33"/>
          <w:szCs w:val="33"/>
        </w:rPr>
      </w:pPr>
      <w:r>
        <w:rPr>
          <w:rFonts w:hint="eastAsia" w:ascii="宋体" w:hAnsi="宋体" w:eastAsia="方正仿宋_GBK" w:cs="方正仿宋简体"/>
          <w:sz w:val="33"/>
          <w:szCs w:val="33"/>
        </w:rPr>
        <w:t>市委市政府高度重视平安建设</w:t>
      </w:r>
      <w:r>
        <w:rPr>
          <w:rFonts w:hint="eastAsia" w:ascii="宋体" w:hAnsi="宋体" w:eastAsia="方正仿宋_GBK" w:cs="方正仿宋简体"/>
          <w:sz w:val="33"/>
          <w:szCs w:val="33"/>
          <w:lang w:eastAsia="zh-CN"/>
        </w:rPr>
        <w:t>及市域社会治理现代化试点</w:t>
      </w:r>
      <w:r>
        <w:rPr>
          <w:rFonts w:hint="eastAsia" w:ascii="宋体" w:hAnsi="宋体" w:eastAsia="方正仿宋_GBK" w:cs="方正仿宋简体"/>
          <w:sz w:val="33"/>
          <w:szCs w:val="33"/>
        </w:rPr>
        <w:t>工作，</w:t>
      </w:r>
      <w:r>
        <w:rPr>
          <w:rFonts w:hint="eastAsia" w:ascii="宋体" w:hAnsi="宋体" w:eastAsia="方正仿宋_GBK" w:cs="方正仿宋简体"/>
          <w:sz w:val="33"/>
          <w:szCs w:val="33"/>
          <w:lang w:eastAsia="zh-CN"/>
        </w:rPr>
        <w:t>坚持把相关工作</w:t>
      </w:r>
      <w:r>
        <w:rPr>
          <w:rFonts w:hint="eastAsia" w:ascii="宋体" w:hAnsi="宋体" w:eastAsia="方正仿宋_GBK" w:cs="方正仿宋简体"/>
          <w:sz w:val="33"/>
          <w:szCs w:val="33"/>
        </w:rPr>
        <w:t>纳入全市经济社会发展全局中谋划推进</w:t>
      </w:r>
      <w:r>
        <w:rPr>
          <w:rFonts w:hint="eastAsia" w:ascii="宋体" w:hAnsi="宋体" w:eastAsia="方正仿宋_GBK" w:cs="方正仿宋简体"/>
          <w:sz w:val="33"/>
          <w:szCs w:val="33"/>
          <w:lang w:eastAsia="zh-CN"/>
        </w:rPr>
        <w:t>，</w:t>
      </w:r>
      <w:r>
        <w:rPr>
          <w:rFonts w:hint="eastAsia" w:ascii="宋体" w:hAnsi="宋体" w:eastAsia="方正仿宋_GBK" w:cs="方正仿宋简体"/>
          <w:sz w:val="33"/>
          <w:szCs w:val="33"/>
        </w:rPr>
        <w:t>市委常委会先后10次听取</w:t>
      </w:r>
      <w:r>
        <w:rPr>
          <w:rFonts w:hint="eastAsia" w:ascii="宋体" w:hAnsi="宋体" w:eastAsia="方正仿宋_GBK" w:cs="方正仿宋简体"/>
          <w:sz w:val="33"/>
          <w:szCs w:val="33"/>
          <w:lang w:eastAsia="zh-CN"/>
        </w:rPr>
        <w:t>相关工作情况</w:t>
      </w:r>
      <w:r>
        <w:rPr>
          <w:rFonts w:hint="eastAsia" w:ascii="宋体" w:hAnsi="宋体" w:eastAsia="方正仿宋_GBK" w:cs="方正仿宋简体"/>
          <w:sz w:val="33"/>
          <w:szCs w:val="33"/>
        </w:rPr>
        <w:t>汇报，研究解决</w:t>
      </w:r>
      <w:r>
        <w:rPr>
          <w:rFonts w:hint="eastAsia" w:ascii="宋体" w:hAnsi="宋体" w:eastAsia="方正仿宋_GBK" w:cs="方正仿宋简体"/>
          <w:sz w:val="33"/>
          <w:szCs w:val="33"/>
          <w:lang w:eastAsia="zh-CN"/>
        </w:rPr>
        <w:t>所涉</w:t>
      </w:r>
      <w:r>
        <w:rPr>
          <w:rFonts w:hint="eastAsia" w:ascii="宋体" w:hAnsi="宋体" w:eastAsia="方正仿宋_GBK" w:cs="方正仿宋简体"/>
          <w:sz w:val="33"/>
          <w:szCs w:val="33"/>
        </w:rPr>
        <w:t>重大事项</w:t>
      </w:r>
      <w:r>
        <w:rPr>
          <w:rFonts w:hint="eastAsia" w:ascii="宋体" w:hAnsi="宋体" w:eastAsia="方正仿宋_GBK" w:cs="方正仿宋简体"/>
          <w:sz w:val="33"/>
          <w:szCs w:val="33"/>
          <w:lang w:eastAsia="zh-CN"/>
        </w:rPr>
        <w:t>，</w:t>
      </w:r>
      <w:r>
        <w:rPr>
          <w:rFonts w:hint="eastAsia" w:ascii="宋体" w:hAnsi="宋体" w:eastAsia="方正仿宋_GBK" w:cs="方正仿宋简体"/>
          <w:sz w:val="33"/>
          <w:szCs w:val="33"/>
          <w:lang w:val="en-US" w:eastAsia="zh-CN"/>
        </w:rPr>
        <w:t>2023年</w:t>
      </w:r>
      <w:r>
        <w:rPr>
          <w:rFonts w:hint="eastAsia" w:ascii="宋体" w:hAnsi="宋体" w:eastAsia="方正仿宋_GBK"/>
          <w:sz w:val="33"/>
          <w:szCs w:val="33"/>
        </w:rPr>
        <w:t>7月，市委常委会组织深入学习《关于深入推进平安四川建设的若干措施》精神，细化分解工作任务，</w:t>
      </w:r>
      <w:r>
        <w:rPr>
          <w:rFonts w:hint="eastAsia" w:ascii="宋体" w:hAnsi="宋体" w:eastAsia="方正仿宋_GBK"/>
          <w:sz w:val="33"/>
          <w:szCs w:val="33"/>
          <w:lang w:eastAsia="zh-CN"/>
        </w:rPr>
        <w:t>以“清单制</w:t>
      </w:r>
      <w:r>
        <w:rPr>
          <w:rFonts w:hint="eastAsia" w:ascii="宋体" w:hAnsi="宋体" w:eastAsia="方正仿宋_GBK"/>
          <w:sz w:val="33"/>
          <w:szCs w:val="33"/>
          <w:lang w:val="en-US" w:eastAsia="zh-CN"/>
        </w:rPr>
        <w:t>+责任制</w:t>
      </w:r>
      <w:r>
        <w:rPr>
          <w:rFonts w:hint="eastAsia" w:ascii="宋体" w:hAnsi="宋体" w:eastAsia="方正仿宋_GBK"/>
          <w:sz w:val="33"/>
          <w:szCs w:val="33"/>
          <w:lang w:eastAsia="zh-CN"/>
        </w:rPr>
        <w:t>”，</w:t>
      </w:r>
      <w:r>
        <w:rPr>
          <w:rFonts w:hint="eastAsia" w:ascii="宋体" w:hAnsi="宋体" w:eastAsia="方正仿宋_GBK"/>
          <w:sz w:val="33"/>
          <w:szCs w:val="33"/>
        </w:rPr>
        <w:t>强力推动工作走深走实。</w:t>
      </w:r>
      <w:r>
        <w:rPr>
          <w:rFonts w:hint="eastAsia" w:ascii="宋体" w:hAnsi="宋体" w:eastAsia="方正仿宋_GBK" w:cs="方正仿宋简体"/>
          <w:sz w:val="33"/>
          <w:szCs w:val="33"/>
          <w:lang w:eastAsia="zh-CN"/>
        </w:rPr>
        <w:t>市委元方书记就相关工作作出指示批示</w:t>
      </w:r>
      <w:r>
        <w:rPr>
          <w:rFonts w:hint="eastAsia" w:ascii="宋体" w:hAnsi="宋体" w:eastAsia="方正仿宋_GBK" w:cs="方正仿宋简体"/>
          <w:sz w:val="33"/>
          <w:szCs w:val="33"/>
          <w:lang w:val="en-US" w:eastAsia="zh-CN"/>
        </w:rPr>
        <w:t>43次，并于去年7月18日亲自主持召开2023年平安资阳建设领导小组会议，为纵深推进相关工作把脉定向、指路引航</w:t>
      </w:r>
      <w:r>
        <w:rPr>
          <w:rFonts w:hint="eastAsia" w:ascii="宋体" w:hAnsi="宋体" w:eastAsia="方正仿宋_GBK" w:cs="方正仿宋简体"/>
          <w:sz w:val="33"/>
          <w:szCs w:val="33"/>
          <w:lang w:eastAsia="zh-CN"/>
        </w:rPr>
        <w:t>；</w:t>
      </w:r>
      <w:r>
        <w:rPr>
          <w:rFonts w:hint="eastAsia" w:ascii="宋体" w:hAnsi="宋体" w:eastAsia="方正仿宋_GBK"/>
          <w:sz w:val="33"/>
          <w:szCs w:val="33"/>
        </w:rPr>
        <w:t>市委分管领导切实履行平安建设直接责任，靠前部署、一线推动，多次深入基层单位调研指导，全覆盖听取工作汇报</w:t>
      </w:r>
      <w:r>
        <w:rPr>
          <w:rFonts w:hint="eastAsia" w:ascii="宋体" w:hAnsi="宋体" w:eastAsia="方正仿宋_GBK"/>
          <w:sz w:val="33"/>
          <w:szCs w:val="33"/>
          <w:lang w:eastAsia="zh-CN"/>
        </w:rPr>
        <w:t>，提出具体工作要求</w:t>
      </w:r>
      <w:r>
        <w:rPr>
          <w:rFonts w:hint="eastAsia" w:ascii="宋体" w:hAnsi="宋体" w:eastAsia="方正仿宋_GBK"/>
          <w:sz w:val="33"/>
          <w:szCs w:val="33"/>
        </w:rPr>
        <w:t>。</w:t>
      </w:r>
      <w:r>
        <w:rPr>
          <w:rFonts w:hint="eastAsia" w:ascii="宋体" w:hAnsi="宋体" w:eastAsia="方正仿宋_GBK"/>
          <w:sz w:val="33"/>
          <w:szCs w:val="33"/>
          <w:lang w:eastAsia="zh-CN"/>
        </w:rPr>
        <w:t>市平安办充分发挥统筹协调、督促落实、考评激励等作用，结合上级新部署新要求，及时</w:t>
      </w:r>
      <w:r>
        <w:rPr>
          <w:rFonts w:hint="eastAsia" w:ascii="宋体" w:hAnsi="宋体" w:eastAsia="方正仿宋_GBK"/>
          <w:sz w:val="33"/>
          <w:szCs w:val="33"/>
        </w:rPr>
        <w:t>调整平安资阳建设暨市域社会治理现代化工作专项组，实现平安建设与市域社会治理现代化工作一体推进</w:t>
      </w:r>
      <w:r>
        <w:rPr>
          <w:rFonts w:hint="eastAsia" w:ascii="宋体" w:hAnsi="宋体" w:eastAsia="方正仿宋_GBK"/>
          <w:sz w:val="33"/>
          <w:szCs w:val="33"/>
          <w:lang w:eastAsia="zh-CN"/>
        </w:rPr>
        <w:t>，</w:t>
      </w:r>
      <w:r>
        <w:rPr>
          <w:rFonts w:hint="eastAsia" w:ascii="宋体" w:hAnsi="宋体" w:eastAsia="方正仿宋_GBK" w:cs="方正仿宋_GBK"/>
          <w:b w:val="0"/>
          <w:bCs w:val="0"/>
          <w:color w:val="auto"/>
          <w:kern w:val="2"/>
          <w:sz w:val="33"/>
          <w:szCs w:val="33"/>
          <w:lang w:val="en-US" w:eastAsia="zh-CN" w:bidi="ar-SA"/>
        </w:rPr>
        <w:t>发出挂牌督办8份、提示函23份，约谈有关负责同志5名，评选平安资阳建设先进集体25个</w:t>
      </w:r>
      <w:r>
        <w:rPr>
          <w:rFonts w:hint="eastAsia" w:ascii="宋体" w:hAnsi="宋体" w:eastAsia="方正仿宋_GBK"/>
          <w:sz w:val="33"/>
          <w:szCs w:val="33"/>
        </w:rPr>
        <w:t>。全市各级各部门坚持把平安建设</w:t>
      </w:r>
      <w:r>
        <w:rPr>
          <w:rFonts w:hint="eastAsia" w:ascii="宋体" w:hAnsi="宋体" w:eastAsia="方正仿宋_GBK"/>
          <w:sz w:val="33"/>
          <w:szCs w:val="33"/>
          <w:lang w:eastAsia="zh-CN"/>
        </w:rPr>
        <w:t>及市域社会治理</w:t>
      </w:r>
      <w:r>
        <w:rPr>
          <w:rFonts w:hint="eastAsia" w:ascii="宋体" w:hAnsi="宋体" w:eastAsia="方正仿宋_GBK"/>
          <w:sz w:val="33"/>
          <w:szCs w:val="33"/>
        </w:rPr>
        <w:t>工作纳入重要议事日程，全力推动、狠抓落实，切实形成人人参与、共建共享的良好局面。</w:t>
      </w:r>
    </w:p>
    <w:p w14:paraId="47370077">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3" w:firstLineChars="200"/>
        <w:textAlignment w:val="auto"/>
        <w:rPr>
          <w:rFonts w:ascii="宋体" w:hAnsi="宋体" w:eastAsia="方正楷体简体"/>
          <w:b/>
          <w:color w:val="auto"/>
          <w:sz w:val="33"/>
          <w:szCs w:val="33"/>
        </w:rPr>
      </w:pPr>
      <w:r>
        <w:rPr>
          <w:rFonts w:hint="eastAsia" w:ascii="宋体" w:hAnsi="宋体" w:eastAsia="方正楷体简体"/>
          <w:b/>
          <w:color w:val="auto"/>
          <w:sz w:val="33"/>
          <w:szCs w:val="33"/>
          <w:lang w:val="en-US" w:eastAsia="zh-CN"/>
        </w:rPr>
        <w:t>4.</w:t>
      </w:r>
      <w:r>
        <w:rPr>
          <w:rFonts w:ascii="宋体" w:hAnsi="宋体" w:eastAsia="方正楷体简体"/>
          <w:b/>
          <w:color w:val="auto"/>
          <w:sz w:val="33"/>
          <w:szCs w:val="33"/>
        </w:rPr>
        <w:t>绩效目标</w:t>
      </w:r>
    </w:p>
    <w:p w14:paraId="35C38FF7">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textAlignment w:val="auto"/>
        <w:rPr>
          <w:rFonts w:hint="eastAsia" w:ascii="宋体" w:hAnsi="宋体" w:eastAsia="方正仿宋_GBK" w:cs="Times New Roman"/>
          <w:color w:val="auto"/>
          <w:sz w:val="33"/>
          <w:szCs w:val="33"/>
        </w:rPr>
      </w:pPr>
      <w:r>
        <w:rPr>
          <w:rFonts w:hint="eastAsia" w:ascii="宋体" w:hAnsi="宋体" w:eastAsia="方正仿宋_GBK" w:cs="Times New Roman"/>
          <w:color w:val="auto"/>
          <w:sz w:val="33"/>
          <w:szCs w:val="33"/>
          <w:lang w:eastAsia="zh-CN"/>
        </w:rPr>
        <w:t>深入推进市域社会治理工作理念、制度和方法创新，健全完善共建共治共享的市域社会治理体制，全力防范化解政治安全、社会矛盾、社会治安、公共安全、网络安全“五大风险”，确保各类风险化解稳控在市域，不断推动更高水平的平安资阳建设，着力打造成渝中部地区平安新高地，实现年度平安建设考评进入全省第一方阵</w:t>
      </w:r>
      <w:r>
        <w:rPr>
          <w:rFonts w:hint="eastAsia" w:ascii="宋体" w:hAnsi="宋体" w:eastAsia="方正仿宋_GBK" w:cs="Times New Roman"/>
          <w:color w:val="auto"/>
          <w:sz w:val="33"/>
          <w:szCs w:val="33"/>
        </w:rPr>
        <w:t>。</w:t>
      </w:r>
    </w:p>
    <w:p w14:paraId="3DA95B5D">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textAlignment w:val="auto"/>
        <w:rPr>
          <w:rFonts w:ascii="宋体" w:hAnsi="宋体" w:eastAsia="方正黑体简体"/>
          <w:sz w:val="33"/>
          <w:szCs w:val="33"/>
        </w:rPr>
      </w:pPr>
      <w:r>
        <w:rPr>
          <w:rFonts w:ascii="宋体" w:hAnsi="宋体" w:eastAsia="方正黑体简体"/>
          <w:sz w:val="33"/>
          <w:szCs w:val="33"/>
        </w:rPr>
        <w:t>二、绩效自评工作情况</w:t>
      </w:r>
    </w:p>
    <w:p w14:paraId="1CAA0865">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3" w:firstLineChars="200"/>
        <w:textAlignment w:val="auto"/>
        <w:rPr>
          <w:rFonts w:ascii="宋体" w:hAnsi="宋体" w:eastAsia="方正楷体简体"/>
          <w:b/>
          <w:sz w:val="33"/>
          <w:szCs w:val="33"/>
        </w:rPr>
      </w:pPr>
      <w:r>
        <w:rPr>
          <w:rFonts w:ascii="宋体" w:hAnsi="宋体" w:eastAsia="方正楷体简体"/>
          <w:b/>
          <w:sz w:val="33"/>
          <w:szCs w:val="33"/>
        </w:rPr>
        <w:t>（一）自评工作组织领导</w:t>
      </w:r>
    </w:p>
    <w:p w14:paraId="4F5A33AB">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textAlignment w:val="auto"/>
        <w:rPr>
          <w:rFonts w:hint="eastAsia" w:ascii="宋体" w:hAnsi="宋体" w:eastAsia="仿宋_GB2312" w:cs="仿宋_GB2312"/>
          <w:sz w:val="33"/>
          <w:szCs w:val="33"/>
        </w:rPr>
      </w:pPr>
      <w:r>
        <w:rPr>
          <w:rFonts w:hint="eastAsia" w:ascii="宋体" w:hAnsi="宋体" w:eastAsia="仿宋_GB2312" w:cs="仿宋_GB2312"/>
          <w:sz w:val="33"/>
          <w:szCs w:val="33"/>
        </w:rPr>
        <w:t>单位有专（兼）职人员负责绩效考核工作。</w:t>
      </w:r>
      <w:r>
        <w:rPr>
          <w:rFonts w:hint="eastAsia" w:ascii="宋体" w:hAnsi="宋体" w:eastAsia="方正仿宋_GBK"/>
          <w:sz w:val="33"/>
          <w:szCs w:val="33"/>
          <w:lang w:val="en-US" w:eastAsia="zh-CN"/>
        </w:rPr>
        <w:t>2023年</w:t>
      </w:r>
      <w:r>
        <w:rPr>
          <w:rFonts w:hint="eastAsia" w:ascii="宋体" w:hAnsi="宋体" w:eastAsia="方正仿宋_GBK"/>
          <w:sz w:val="33"/>
          <w:szCs w:val="33"/>
        </w:rPr>
        <w:t>以来，已</w:t>
      </w:r>
      <w:r>
        <w:rPr>
          <w:rFonts w:hint="eastAsia" w:ascii="宋体" w:hAnsi="宋体" w:eastAsia="方正仿宋_GBK" w:cs="方正仿宋简体"/>
          <w:kern w:val="0"/>
          <w:sz w:val="33"/>
          <w:szCs w:val="33"/>
        </w:rPr>
        <w:t>针对禁毒工作、命案防范、扫黑除恶、基层平安建设资源整合等重点问题分别开展专门督导，推动试点工作走深走实</w:t>
      </w:r>
      <w:r>
        <w:rPr>
          <w:rFonts w:hint="eastAsia" w:ascii="宋体" w:hAnsi="宋体" w:eastAsia="方正仿宋_GBK"/>
          <w:sz w:val="33"/>
          <w:szCs w:val="33"/>
        </w:rPr>
        <w:t>。</w:t>
      </w:r>
    </w:p>
    <w:p w14:paraId="524A8C97">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3" w:firstLineChars="200"/>
        <w:textAlignment w:val="auto"/>
        <w:rPr>
          <w:rFonts w:ascii="宋体" w:hAnsi="宋体" w:eastAsia="方正楷体简体"/>
          <w:b/>
          <w:sz w:val="33"/>
          <w:szCs w:val="33"/>
        </w:rPr>
      </w:pPr>
      <w:r>
        <w:rPr>
          <w:rFonts w:ascii="宋体" w:hAnsi="宋体" w:eastAsia="方正楷体简体"/>
          <w:b/>
          <w:sz w:val="33"/>
          <w:szCs w:val="33"/>
        </w:rPr>
        <w:t>（二）自评方式、方法、重点</w:t>
      </w:r>
    </w:p>
    <w:p w14:paraId="23EB0136">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textAlignment w:val="auto"/>
        <w:rPr>
          <w:rFonts w:hint="eastAsia" w:ascii="宋体" w:hAnsi="宋体" w:eastAsia="方正仿宋_GBK" w:cs="方正仿宋简体"/>
          <w:kern w:val="0"/>
          <w:sz w:val="33"/>
          <w:szCs w:val="33"/>
        </w:rPr>
      </w:pPr>
      <w:r>
        <w:rPr>
          <w:rFonts w:hint="eastAsia" w:ascii="宋体" w:hAnsi="宋体" w:eastAsia="方正仿宋_GBK" w:cs="方正仿宋简体"/>
          <w:kern w:val="0"/>
          <w:sz w:val="33"/>
          <w:szCs w:val="33"/>
        </w:rPr>
        <w:t>评价工作分为准备阶段、实施阶段和撰写阶段，在准备阶段，我单位首先确定了绩效评价对象，制定绩效评价工作方案；在实施阶段，建立了科学、规划的绩效考核指标体系，制定了明确、合理的财政支出绩效目标，认真收集和审查核实绩效评价相关资料，对绩效目标的实现程度户效果实施了考核与评价；在撰写阶段，综合分析并形成评价结论，运用考评结果提高预算编制、执行和管理水平，建立健全绩效评价档案。</w:t>
      </w:r>
    </w:p>
    <w:p w14:paraId="3E2D1848">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textAlignment w:val="auto"/>
        <w:rPr>
          <w:rFonts w:ascii="宋体" w:hAnsi="宋体" w:eastAsia="方正黑体简体"/>
          <w:sz w:val="33"/>
          <w:szCs w:val="33"/>
        </w:rPr>
      </w:pPr>
      <w:r>
        <w:rPr>
          <w:rFonts w:ascii="宋体" w:hAnsi="宋体" w:eastAsia="方正黑体简体"/>
          <w:sz w:val="33"/>
          <w:szCs w:val="33"/>
        </w:rPr>
        <w:t>三、评价结论</w:t>
      </w:r>
    </w:p>
    <w:p w14:paraId="7E269FD7">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textAlignment w:val="auto"/>
        <w:rPr>
          <w:rFonts w:hint="eastAsia" w:ascii="宋体" w:hAnsi="宋体" w:eastAsia="方正仿宋_GBK" w:cs="方正仿宋简体"/>
          <w:kern w:val="0"/>
          <w:sz w:val="33"/>
          <w:szCs w:val="33"/>
        </w:rPr>
      </w:pPr>
      <w:r>
        <w:rPr>
          <w:rFonts w:hint="eastAsia" w:ascii="宋体" w:hAnsi="宋体" w:eastAsia="方正仿宋_GBK" w:cs="方正仿宋简体"/>
          <w:kern w:val="0"/>
          <w:sz w:val="33"/>
          <w:szCs w:val="33"/>
        </w:rPr>
        <w:t>根据预算绩效管理工作要求对202</w:t>
      </w:r>
      <w:r>
        <w:rPr>
          <w:rFonts w:hint="eastAsia" w:ascii="宋体" w:hAnsi="宋体" w:eastAsia="方正仿宋_GBK" w:cs="方正仿宋简体"/>
          <w:kern w:val="0"/>
          <w:sz w:val="33"/>
          <w:szCs w:val="33"/>
          <w:lang w:val="en-US" w:eastAsia="zh-CN"/>
        </w:rPr>
        <w:t>3</w:t>
      </w:r>
      <w:r>
        <w:rPr>
          <w:rFonts w:hint="eastAsia" w:ascii="宋体" w:hAnsi="宋体" w:eastAsia="方正仿宋_GBK" w:cs="方正仿宋简体"/>
          <w:kern w:val="0"/>
          <w:sz w:val="33"/>
          <w:szCs w:val="33"/>
        </w:rPr>
        <w:t>年项目支出绩效管理工作进行了自评考核，按照综合评分结果，依据</w:t>
      </w:r>
      <w:r>
        <w:rPr>
          <w:rFonts w:hint="eastAsia" w:ascii="宋体" w:hAnsi="宋体" w:eastAsia="方正仿宋_GBK" w:cs="方正仿宋简体"/>
          <w:kern w:val="0"/>
          <w:sz w:val="33"/>
          <w:szCs w:val="33"/>
          <w:lang w:eastAsia="zh-CN"/>
        </w:rPr>
        <w:t>资</w:t>
      </w:r>
      <w:r>
        <w:rPr>
          <w:rFonts w:hint="eastAsia" w:ascii="宋体" w:hAnsi="宋体" w:eastAsia="方正仿宋_GBK" w:cs="方正仿宋简体"/>
          <w:kern w:val="0"/>
          <w:sz w:val="33"/>
          <w:szCs w:val="33"/>
        </w:rPr>
        <w:t>财监督〔2020〕1号规定评价等级为优，本次自评得分100分。</w:t>
      </w:r>
    </w:p>
    <w:p w14:paraId="41B92A91">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textAlignment w:val="auto"/>
        <w:rPr>
          <w:rFonts w:ascii="宋体" w:hAnsi="宋体" w:eastAsia="方正黑体简体"/>
          <w:sz w:val="33"/>
          <w:szCs w:val="33"/>
        </w:rPr>
      </w:pPr>
      <w:r>
        <w:rPr>
          <w:rFonts w:ascii="宋体" w:hAnsi="宋体" w:eastAsia="方正黑体简体"/>
          <w:sz w:val="33"/>
          <w:szCs w:val="33"/>
        </w:rPr>
        <w:t>四、绩效分析</w:t>
      </w:r>
    </w:p>
    <w:p w14:paraId="4D064831">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textAlignment w:val="auto"/>
        <w:rPr>
          <w:rFonts w:ascii="宋体" w:hAnsi="宋体" w:eastAsia="方正仿宋简体"/>
          <w:color w:val="000000"/>
          <w:sz w:val="33"/>
          <w:szCs w:val="33"/>
        </w:rPr>
      </w:pPr>
      <w:r>
        <w:rPr>
          <w:rFonts w:hint="eastAsia" w:ascii="宋体" w:hAnsi="宋体" w:eastAsia="方正仿宋简体"/>
          <w:color w:val="000000"/>
          <w:sz w:val="33"/>
          <w:szCs w:val="33"/>
          <w:lang w:eastAsia="zh-CN"/>
        </w:rPr>
        <w:t>项目</w:t>
      </w:r>
      <w:r>
        <w:rPr>
          <w:rFonts w:hint="eastAsia" w:ascii="宋体" w:hAnsi="宋体" w:eastAsia="方正仿宋简体"/>
          <w:color w:val="000000"/>
          <w:sz w:val="33"/>
          <w:szCs w:val="33"/>
        </w:rPr>
        <w:t>支出绩效评价的评分依据、</w:t>
      </w:r>
      <w:r>
        <w:rPr>
          <w:rFonts w:hint="eastAsia" w:ascii="宋体" w:hAnsi="宋体" w:eastAsia="方正仿宋简体"/>
          <w:color w:val="000000"/>
          <w:sz w:val="33"/>
          <w:szCs w:val="33"/>
          <w:lang w:eastAsia="zh-CN"/>
        </w:rPr>
        <w:t>得分情况、</w:t>
      </w:r>
      <w:r>
        <w:rPr>
          <w:rFonts w:hint="eastAsia" w:ascii="宋体" w:hAnsi="宋体" w:eastAsia="方正仿宋简体"/>
          <w:color w:val="000000"/>
          <w:sz w:val="33"/>
          <w:szCs w:val="33"/>
        </w:rPr>
        <w:t>扣分原因分析等见《20</w:t>
      </w:r>
      <w:r>
        <w:rPr>
          <w:rFonts w:hint="eastAsia" w:ascii="宋体" w:hAnsi="宋体" w:eastAsia="方正仿宋简体"/>
          <w:color w:val="000000"/>
          <w:sz w:val="33"/>
          <w:szCs w:val="33"/>
          <w:lang w:val="en-US" w:eastAsia="zh-CN"/>
        </w:rPr>
        <w:t>23</w:t>
      </w:r>
      <w:r>
        <w:rPr>
          <w:rFonts w:hint="eastAsia" w:ascii="宋体" w:hAnsi="宋体" w:eastAsia="方正仿宋简体"/>
          <w:color w:val="000000"/>
          <w:sz w:val="33"/>
          <w:szCs w:val="33"/>
        </w:rPr>
        <w:t>年度市本级</w:t>
      </w:r>
      <w:r>
        <w:rPr>
          <w:rFonts w:hint="eastAsia" w:ascii="宋体" w:hAnsi="宋体" w:eastAsia="方正仿宋简体"/>
          <w:color w:val="000000"/>
          <w:sz w:val="33"/>
          <w:szCs w:val="33"/>
          <w:lang w:eastAsia="zh-CN"/>
        </w:rPr>
        <w:t>项目</w:t>
      </w:r>
      <w:r>
        <w:rPr>
          <w:rFonts w:hint="eastAsia" w:ascii="宋体" w:hAnsi="宋体" w:eastAsia="方正仿宋简体"/>
          <w:color w:val="000000"/>
          <w:sz w:val="33"/>
          <w:szCs w:val="33"/>
        </w:rPr>
        <w:t>支出绩效自评计分表》（附件</w:t>
      </w:r>
      <w:r>
        <w:rPr>
          <w:rFonts w:hint="eastAsia" w:ascii="宋体" w:hAnsi="宋体" w:eastAsia="方正仿宋简体"/>
          <w:color w:val="000000"/>
          <w:sz w:val="33"/>
          <w:szCs w:val="33"/>
          <w:lang w:val="en-US" w:eastAsia="zh-CN"/>
        </w:rPr>
        <w:t>2</w:t>
      </w:r>
      <w:r>
        <w:rPr>
          <w:rFonts w:hint="eastAsia" w:ascii="宋体" w:hAnsi="宋体" w:eastAsia="方正仿宋简体"/>
          <w:color w:val="000000"/>
          <w:sz w:val="33"/>
          <w:szCs w:val="33"/>
        </w:rPr>
        <w:t>-1）</w:t>
      </w:r>
      <w:r>
        <w:rPr>
          <w:rFonts w:ascii="宋体" w:hAnsi="宋体" w:eastAsia="方正仿宋简体"/>
          <w:color w:val="000000"/>
          <w:sz w:val="33"/>
          <w:szCs w:val="33"/>
        </w:rPr>
        <w:t>。</w:t>
      </w:r>
    </w:p>
    <w:p w14:paraId="64584A5F">
      <w:pPr>
        <w:keepNext w:val="0"/>
        <w:keepLines w:val="0"/>
        <w:pageBreakBefore w:val="0"/>
        <w:widowControl w:val="0"/>
        <w:kinsoku/>
        <w:wordWrap/>
        <w:overflowPunct/>
        <w:topLinePunct w:val="0"/>
        <w:autoSpaceDE/>
        <w:autoSpaceDN/>
        <w:bidi w:val="0"/>
        <w:adjustRightInd/>
        <w:snapToGrid/>
        <w:spacing w:line="590" w:lineRule="exact"/>
        <w:ind w:left="0" w:firstLine="663" w:firstLineChars="200"/>
        <w:jc w:val="both"/>
        <w:textAlignment w:val="auto"/>
        <w:rPr>
          <w:rFonts w:ascii="宋体" w:hAnsi="宋体" w:eastAsia="方正仿宋简体"/>
          <w:b/>
          <w:color w:val="000000"/>
          <w:kern w:val="0"/>
          <w:sz w:val="33"/>
          <w:szCs w:val="33"/>
        </w:rPr>
      </w:pPr>
      <w:r>
        <w:rPr>
          <w:rFonts w:hint="eastAsia" w:ascii="宋体" w:hAnsi="宋体" w:eastAsia="方正仿宋简体"/>
          <w:b/>
          <w:color w:val="000000"/>
          <w:kern w:val="0"/>
          <w:sz w:val="33"/>
          <w:szCs w:val="33"/>
        </w:rPr>
        <w:t>1.投入指标分析</w:t>
      </w:r>
      <w:r>
        <w:rPr>
          <w:rFonts w:hint="default" w:ascii="宋体" w:hAnsi="宋体" w:eastAsia="方正仿宋简体" w:cs="Times New Roman"/>
          <w:color w:val="000000"/>
          <w:kern w:val="0"/>
          <w:sz w:val="33"/>
          <w:szCs w:val="33"/>
        </w:rPr>
        <w:t>（总分</w:t>
      </w:r>
      <w:r>
        <w:rPr>
          <w:rFonts w:hint="default" w:ascii="宋体" w:hAnsi="宋体" w:eastAsia="方正仿宋简体" w:cs="Times New Roman"/>
          <w:color w:val="000000"/>
          <w:kern w:val="0"/>
          <w:sz w:val="33"/>
          <w:szCs w:val="33"/>
          <w:lang w:val="en-US" w:eastAsia="zh-CN"/>
        </w:rPr>
        <w:t>25</w:t>
      </w:r>
      <w:r>
        <w:rPr>
          <w:rFonts w:hint="default" w:ascii="宋体" w:hAnsi="宋体" w:eastAsia="方正仿宋简体" w:cs="Times New Roman"/>
          <w:color w:val="000000"/>
          <w:kern w:val="0"/>
          <w:sz w:val="33"/>
          <w:szCs w:val="33"/>
        </w:rPr>
        <w:t>分，得分</w:t>
      </w:r>
      <w:r>
        <w:rPr>
          <w:rFonts w:hint="default" w:ascii="宋体" w:hAnsi="宋体" w:eastAsia="方正仿宋简体" w:cs="Times New Roman"/>
          <w:color w:val="000000"/>
          <w:kern w:val="0"/>
          <w:sz w:val="33"/>
          <w:szCs w:val="33"/>
          <w:lang w:val="en-US" w:eastAsia="zh-CN"/>
        </w:rPr>
        <w:t>25</w:t>
      </w:r>
      <w:r>
        <w:rPr>
          <w:rFonts w:hint="default" w:ascii="宋体" w:hAnsi="宋体" w:eastAsia="方正仿宋简体" w:cs="Times New Roman"/>
          <w:color w:val="000000"/>
          <w:kern w:val="0"/>
          <w:sz w:val="33"/>
          <w:szCs w:val="33"/>
        </w:rPr>
        <w:t>分）</w:t>
      </w:r>
    </w:p>
    <w:p w14:paraId="08511A90">
      <w:pPr>
        <w:keepNext w:val="0"/>
        <w:keepLines w:val="0"/>
        <w:pageBreakBefore w:val="0"/>
        <w:widowControl w:val="0"/>
        <w:kinsoku/>
        <w:wordWrap/>
        <w:overflowPunct/>
        <w:topLinePunct w:val="0"/>
        <w:autoSpaceDE/>
        <w:autoSpaceDN/>
        <w:bidi w:val="0"/>
        <w:adjustRightInd/>
        <w:snapToGrid/>
        <w:spacing w:line="590" w:lineRule="exact"/>
        <w:ind w:left="0" w:firstLine="663" w:firstLineChars="200"/>
        <w:jc w:val="both"/>
        <w:textAlignment w:val="auto"/>
        <w:rPr>
          <w:rFonts w:ascii="宋体" w:hAnsi="宋体" w:eastAsia="方正仿宋简体"/>
          <w:b/>
          <w:color w:val="000000"/>
          <w:kern w:val="0"/>
          <w:sz w:val="33"/>
          <w:szCs w:val="33"/>
        </w:rPr>
      </w:pPr>
      <w:r>
        <w:rPr>
          <w:rFonts w:hint="eastAsia" w:ascii="宋体" w:hAnsi="宋体" w:eastAsia="方正仿宋简体" w:cs="Times New Roman"/>
          <w:b/>
          <w:color w:val="000000"/>
          <w:kern w:val="0"/>
          <w:sz w:val="33"/>
          <w:szCs w:val="33"/>
        </w:rPr>
        <w:t>（1）</w:t>
      </w:r>
      <w:r>
        <w:rPr>
          <w:rFonts w:hint="eastAsia" w:ascii="宋体" w:hAnsi="宋体" w:eastAsia="方正仿宋简体"/>
          <w:b/>
          <w:color w:val="000000"/>
          <w:kern w:val="0"/>
          <w:sz w:val="33"/>
          <w:szCs w:val="33"/>
          <w:lang w:eastAsia="zh-CN"/>
        </w:rPr>
        <w:t>项目立项</w:t>
      </w:r>
    </w:p>
    <w:p w14:paraId="1ABDAC12">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jc w:val="both"/>
        <w:textAlignment w:val="auto"/>
        <w:rPr>
          <w:rFonts w:hint="eastAsia" w:ascii="宋体" w:hAnsi="宋体" w:eastAsia="方正仿宋简体"/>
          <w:color w:val="000000"/>
          <w:sz w:val="33"/>
          <w:szCs w:val="33"/>
          <w:lang w:val="en-US" w:eastAsia="zh-CN"/>
        </w:rPr>
      </w:pPr>
      <w:r>
        <w:rPr>
          <w:rFonts w:hint="eastAsia" w:ascii="宋体" w:hAnsi="宋体" w:eastAsia="方正仿宋简体"/>
          <w:color w:val="000000"/>
          <w:kern w:val="0"/>
          <w:sz w:val="33"/>
          <w:szCs w:val="33"/>
        </w:rPr>
        <w:t>本单位</w:t>
      </w:r>
      <w:r>
        <w:rPr>
          <w:rFonts w:hint="eastAsia" w:ascii="宋体" w:hAnsi="宋体" w:eastAsia="方正仿宋简体"/>
          <w:color w:val="000000"/>
          <w:kern w:val="0"/>
          <w:sz w:val="33"/>
          <w:szCs w:val="33"/>
          <w:lang w:eastAsia="zh-CN"/>
        </w:rPr>
        <w:t>项目立项规范，项目按规定程序申请、设立，提交的文件、资料符合相关要求；绩效目标合理，项目设定的绩效目标</w:t>
      </w:r>
      <w:r>
        <w:rPr>
          <w:rFonts w:hint="eastAsia" w:ascii="宋体" w:hAnsi="宋体" w:eastAsia="方正仿宋简体"/>
          <w:color w:val="000000"/>
          <w:kern w:val="0"/>
          <w:sz w:val="33"/>
          <w:szCs w:val="33"/>
        </w:rPr>
        <w:t>符合国家法律</w:t>
      </w:r>
      <w:r>
        <w:rPr>
          <w:rFonts w:ascii="宋体" w:hAnsi="宋体" w:eastAsia="方正仿宋简体"/>
          <w:color w:val="000000"/>
          <w:kern w:val="0"/>
          <w:sz w:val="33"/>
          <w:szCs w:val="33"/>
        </w:rPr>
        <w:t>法规、国民经济和社会发展总体规划</w:t>
      </w:r>
      <w:r>
        <w:rPr>
          <w:rFonts w:hint="eastAsia" w:ascii="宋体" w:hAnsi="宋体" w:eastAsia="方正仿宋简体"/>
          <w:color w:val="000000"/>
          <w:kern w:val="0"/>
          <w:sz w:val="33"/>
          <w:szCs w:val="33"/>
          <w:lang w:eastAsia="zh-CN"/>
        </w:rPr>
        <w:t>，依据充分，符合客观实际；绩效目标</w:t>
      </w:r>
      <w:r>
        <w:rPr>
          <w:rFonts w:hint="eastAsia" w:ascii="宋体" w:hAnsi="宋体" w:eastAsia="方正仿宋简体"/>
          <w:color w:val="000000"/>
          <w:kern w:val="0"/>
          <w:sz w:val="33"/>
          <w:szCs w:val="33"/>
          <w:lang w:val="en-US" w:eastAsia="zh-CN"/>
        </w:rPr>
        <w:t>明确，</w:t>
      </w:r>
      <w:r>
        <w:rPr>
          <w:rFonts w:hint="eastAsia" w:ascii="宋体" w:hAnsi="宋体" w:eastAsia="方正仿宋简体"/>
          <w:color w:val="000000"/>
          <w:sz w:val="33"/>
          <w:szCs w:val="33"/>
        </w:rPr>
        <w:t>设定</w:t>
      </w:r>
      <w:r>
        <w:rPr>
          <w:rFonts w:ascii="宋体" w:hAnsi="宋体" w:eastAsia="方正仿宋简体"/>
          <w:color w:val="000000"/>
          <w:sz w:val="33"/>
          <w:szCs w:val="33"/>
        </w:rPr>
        <w:t>的绩效指标清晰</w:t>
      </w:r>
      <w:r>
        <w:rPr>
          <w:rFonts w:hint="eastAsia" w:ascii="宋体" w:hAnsi="宋体" w:eastAsia="方正仿宋简体"/>
          <w:color w:val="000000"/>
          <w:sz w:val="33"/>
          <w:szCs w:val="33"/>
        </w:rPr>
        <w:t>、</w:t>
      </w:r>
      <w:r>
        <w:rPr>
          <w:rFonts w:ascii="宋体" w:hAnsi="宋体" w:eastAsia="方正仿宋简体"/>
          <w:color w:val="000000"/>
          <w:sz w:val="33"/>
          <w:szCs w:val="33"/>
        </w:rPr>
        <w:t>具体</w:t>
      </w:r>
      <w:r>
        <w:rPr>
          <w:rFonts w:hint="eastAsia" w:ascii="宋体" w:hAnsi="宋体" w:eastAsia="方正仿宋简体"/>
          <w:color w:val="000000"/>
          <w:sz w:val="33"/>
          <w:szCs w:val="33"/>
        </w:rPr>
        <w:t>，</w:t>
      </w:r>
      <w:r>
        <w:rPr>
          <w:rFonts w:ascii="宋体" w:hAnsi="宋体" w:eastAsia="方正仿宋简体"/>
          <w:color w:val="000000"/>
          <w:sz w:val="33"/>
          <w:szCs w:val="33"/>
        </w:rPr>
        <w:t>具有</w:t>
      </w:r>
      <w:r>
        <w:rPr>
          <w:rFonts w:hint="eastAsia" w:ascii="宋体" w:hAnsi="宋体" w:eastAsia="方正仿宋简体"/>
          <w:color w:val="000000"/>
          <w:sz w:val="33"/>
          <w:szCs w:val="33"/>
        </w:rPr>
        <w:t>指导性</w:t>
      </w:r>
      <w:r>
        <w:rPr>
          <w:rFonts w:ascii="宋体" w:hAnsi="宋体" w:eastAsia="方正仿宋简体"/>
          <w:color w:val="000000"/>
          <w:sz w:val="33"/>
          <w:szCs w:val="33"/>
        </w:rPr>
        <w:t>和可衡量</w:t>
      </w:r>
      <w:r>
        <w:rPr>
          <w:rFonts w:hint="eastAsia" w:ascii="宋体" w:hAnsi="宋体" w:eastAsia="方正仿宋简体"/>
          <w:color w:val="000000"/>
          <w:sz w:val="33"/>
          <w:szCs w:val="33"/>
        </w:rPr>
        <w:t>性</w:t>
      </w:r>
      <w:r>
        <w:rPr>
          <w:rFonts w:hint="eastAsia" w:ascii="宋体" w:hAnsi="宋体" w:eastAsia="方正仿宋简体"/>
          <w:color w:val="000000"/>
          <w:sz w:val="33"/>
          <w:szCs w:val="33"/>
          <w:lang w:eastAsia="zh-CN"/>
        </w:rPr>
        <w:t>。</w:t>
      </w:r>
    </w:p>
    <w:p w14:paraId="1B56C2B1">
      <w:pPr>
        <w:keepNext w:val="0"/>
        <w:keepLines w:val="0"/>
        <w:pageBreakBefore w:val="0"/>
        <w:widowControl w:val="0"/>
        <w:kinsoku/>
        <w:wordWrap/>
        <w:overflowPunct/>
        <w:topLinePunct w:val="0"/>
        <w:autoSpaceDE/>
        <w:autoSpaceDN/>
        <w:bidi w:val="0"/>
        <w:adjustRightInd/>
        <w:snapToGrid/>
        <w:spacing w:line="590" w:lineRule="exact"/>
        <w:ind w:left="0" w:firstLine="663" w:firstLineChars="200"/>
        <w:jc w:val="both"/>
        <w:textAlignment w:val="auto"/>
        <w:rPr>
          <w:rFonts w:ascii="宋体" w:hAnsi="宋体" w:eastAsia="方正仿宋简体"/>
          <w:b/>
          <w:color w:val="000000"/>
          <w:sz w:val="33"/>
          <w:szCs w:val="33"/>
        </w:rPr>
      </w:pPr>
      <w:r>
        <w:rPr>
          <w:rFonts w:hint="eastAsia" w:ascii="宋体" w:hAnsi="宋体" w:eastAsia="方正仿宋简体" w:cs="Times New Roman"/>
          <w:b/>
          <w:color w:val="000000"/>
          <w:sz w:val="33"/>
          <w:szCs w:val="33"/>
        </w:rPr>
        <w:t>（2）</w:t>
      </w:r>
      <w:r>
        <w:rPr>
          <w:rFonts w:hint="eastAsia" w:ascii="宋体" w:hAnsi="宋体" w:eastAsia="方正仿宋简体"/>
          <w:b/>
          <w:color w:val="000000"/>
          <w:sz w:val="33"/>
          <w:szCs w:val="33"/>
          <w:lang w:eastAsia="zh-CN"/>
        </w:rPr>
        <w:t>资金落实</w:t>
      </w:r>
    </w:p>
    <w:p w14:paraId="7D323046">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jc w:val="both"/>
        <w:textAlignment w:val="auto"/>
        <w:rPr>
          <w:rFonts w:hint="default" w:ascii="宋体" w:hAnsi="宋体" w:eastAsia="方正仿宋简体" w:cs="Times New Roman"/>
          <w:color w:val="000000"/>
          <w:kern w:val="0"/>
          <w:sz w:val="33"/>
          <w:szCs w:val="33"/>
          <w:lang w:val="en-US" w:eastAsia="zh-CN"/>
        </w:rPr>
      </w:pPr>
      <w:r>
        <w:rPr>
          <w:rFonts w:hint="default" w:ascii="宋体" w:hAnsi="宋体" w:eastAsia="方正仿宋简体" w:cs="Times New Roman"/>
          <w:color w:val="000000"/>
          <w:kern w:val="0"/>
          <w:sz w:val="33"/>
          <w:szCs w:val="33"/>
          <w:lang w:val="en-US" w:eastAsia="zh-CN"/>
        </w:rPr>
        <w:t>202</w:t>
      </w:r>
      <w:r>
        <w:rPr>
          <w:rFonts w:hint="eastAsia" w:ascii="宋体" w:hAnsi="宋体" w:eastAsia="方正仿宋简体" w:cs="Times New Roman"/>
          <w:color w:val="000000"/>
          <w:kern w:val="0"/>
          <w:sz w:val="33"/>
          <w:szCs w:val="33"/>
          <w:lang w:val="en-US" w:eastAsia="zh-CN"/>
        </w:rPr>
        <w:t>3</w:t>
      </w:r>
      <w:r>
        <w:rPr>
          <w:rFonts w:hint="default" w:ascii="宋体" w:hAnsi="宋体" w:eastAsia="方正仿宋简体" w:cs="Times New Roman"/>
          <w:color w:val="000000"/>
          <w:kern w:val="0"/>
          <w:sz w:val="33"/>
          <w:szCs w:val="33"/>
          <w:lang w:val="en-US" w:eastAsia="zh-CN"/>
        </w:rPr>
        <w:t>年财政预算安排</w:t>
      </w:r>
      <w:r>
        <w:rPr>
          <w:rFonts w:hint="eastAsia" w:ascii="宋体" w:hAnsi="宋体" w:eastAsia="方正仿宋简体" w:cs="Times New Roman"/>
          <w:color w:val="000000"/>
          <w:kern w:val="0"/>
          <w:sz w:val="33"/>
          <w:szCs w:val="33"/>
          <w:lang w:val="en-US" w:eastAsia="zh-CN"/>
        </w:rPr>
        <w:t>平安建设-市域社会治理现代化试点工作经费70万元</w:t>
      </w:r>
      <w:r>
        <w:rPr>
          <w:rFonts w:hint="default" w:ascii="宋体" w:hAnsi="宋体" w:eastAsia="方正仿宋简体" w:cs="Times New Roman"/>
          <w:color w:val="000000"/>
          <w:kern w:val="0"/>
          <w:sz w:val="33"/>
          <w:szCs w:val="33"/>
          <w:lang w:val="en-US" w:eastAsia="zh-CN"/>
        </w:rPr>
        <w:t>，资金实际到位</w:t>
      </w:r>
      <w:r>
        <w:rPr>
          <w:rFonts w:hint="eastAsia" w:ascii="宋体" w:hAnsi="宋体" w:eastAsia="方正仿宋简体" w:cs="Times New Roman"/>
          <w:color w:val="000000"/>
          <w:kern w:val="0"/>
          <w:sz w:val="33"/>
          <w:szCs w:val="33"/>
          <w:lang w:val="en-US" w:eastAsia="zh-CN"/>
        </w:rPr>
        <w:t>70</w:t>
      </w:r>
      <w:r>
        <w:rPr>
          <w:rFonts w:hint="default" w:ascii="宋体" w:hAnsi="宋体" w:eastAsia="方正仿宋简体" w:cs="Times New Roman"/>
          <w:color w:val="000000"/>
          <w:kern w:val="0"/>
          <w:sz w:val="33"/>
          <w:szCs w:val="33"/>
          <w:lang w:val="en-US" w:eastAsia="zh-CN"/>
        </w:rPr>
        <w:t>万元，资金到位率</w:t>
      </w:r>
      <w:r>
        <w:rPr>
          <w:rFonts w:hint="eastAsia" w:ascii="宋体" w:hAnsi="宋体" w:eastAsia="方正仿宋简体" w:cs="Times New Roman"/>
          <w:color w:val="000000"/>
          <w:kern w:val="0"/>
          <w:sz w:val="33"/>
          <w:szCs w:val="33"/>
          <w:lang w:val="en-US" w:eastAsia="zh-CN"/>
        </w:rPr>
        <w:t>=（实际到位资金/计划投入资金）=70/70=</w:t>
      </w:r>
      <w:r>
        <w:rPr>
          <w:rFonts w:hint="default" w:ascii="宋体" w:hAnsi="宋体" w:eastAsia="方正仿宋简体" w:cs="Times New Roman"/>
          <w:color w:val="000000"/>
          <w:kern w:val="0"/>
          <w:sz w:val="33"/>
          <w:szCs w:val="33"/>
          <w:lang w:val="en-US" w:eastAsia="zh-CN"/>
        </w:rPr>
        <w:t>100%；到位及时率</w:t>
      </w:r>
      <w:r>
        <w:rPr>
          <w:rFonts w:hint="eastAsia" w:ascii="宋体" w:hAnsi="宋体" w:eastAsia="方正仿宋简体" w:cs="Times New Roman"/>
          <w:color w:val="000000"/>
          <w:kern w:val="0"/>
          <w:sz w:val="33"/>
          <w:szCs w:val="33"/>
          <w:lang w:val="en-US" w:eastAsia="zh-CN"/>
        </w:rPr>
        <w:t>=（及时到位资金/应到位资金）</w:t>
      </w:r>
      <w:r>
        <w:rPr>
          <w:rFonts w:hint="default" w:ascii="宋体" w:hAnsi="宋体" w:eastAsia="方正仿宋简体" w:cs="Times New Roman"/>
          <w:color w:val="000000"/>
          <w:kern w:val="0"/>
          <w:sz w:val="33"/>
          <w:szCs w:val="33"/>
          <w:lang w:val="en-US" w:eastAsia="zh-CN"/>
        </w:rPr>
        <w:t>100%。</w:t>
      </w:r>
    </w:p>
    <w:p w14:paraId="734716CC">
      <w:pPr>
        <w:keepNext w:val="0"/>
        <w:keepLines w:val="0"/>
        <w:pageBreakBefore w:val="0"/>
        <w:widowControl w:val="0"/>
        <w:kinsoku/>
        <w:wordWrap/>
        <w:overflowPunct/>
        <w:topLinePunct w:val="0"/>
        <w:autoSpaceDE/>
        <w:autoSpaceDN/>
        <w:bidi w:val="0"/>
        <w:adjustRightInd/>
        <w:snapToGrid/>
        <w:spacing w:line="590" w:lineRule="exact"/>
        <w:ind w:left="0" w:firstLine="663" w:firstLineChars="200"/>
        <w:jc w:val="both"/>
        <w:textAlignment w:val="auto"/>
        <w:rPr>
          <w:rFonts w:hint="default" w:ascii="宋体" w:hAnsi="宋体" w:eastAsia="方正仿宋简体" w:cs="Times New Roman"/>
          <w:b/>
          <w:color w:val="000000"/>
          <w:kern w:val="0"/>
          <w:sz w:val="33"/>
          <w:szCs w:val="33"/>
        </w:rPr>
      </w:pPr>
      <w:r>
        <w:rPr>
          <w:rFonts w:hint="eastAsia" w:ascii="宋体" w:hAnsi="宋体" w:eastAsia="方正仿宋简体"/>
          <w:b/>
          <w:color w:val="000000"/>
          <w:kern w:val="0"/>
          <w:sz w:val="33"/>
          <w:szCs w:val="33"/>
          <w:lang w:val="en-US" w:eastAsia="zh-CN"/>
        </w:rPr>
        <w:t>2</w:t>
      </w:r>
      <w:r>
        <w:rPr>
          <w:rFonts w:hint="eastAsia" w:ascii="宋体" w:hAnsi="宋体" w:eastAsia="方正仿宋简体"/>
          <w:b/>
          <w:color w:val="000000"/>
          <w:kern w:val="0"/>
          <w:sz w:val="33"/>
          <w:szCs w:val="33"/>
        </w:rPr>
        <w:t>.</w:t>
      </w:r>
      <w:r>
        <w:rPr>
          <w:rFonts w:hint="eastAsia" w:ascii="宋体" w:hAnsi="宋体" w:eastAsia="方正仿宋简体"/>
          <w:b/>
          <w:color w:val="000000"/>
          <w:kern w:val="0"/>
          <w:sz w:val="33"/>
          <w:szCs w:val="33"/>
          <w:lang w:eastAsia="zh-CN"/>
        </w:rPr>
        <w:t>过程</w:t>
      </w:r>
      <w:r>
        <w:rPr>
          <w:rFonts w:hint="eastAsia" w:ascii="宋体" w:hAnsi="宋体" w:eastAsia="方正仿宋简体"/>
          <w:b/>
          <w:color w:val="000000"/>
          <w:kern w:val="0"/>
          <w:sz w:val="33"/>
          <w:szCs w:val="33"/>
        </w:rPr>
        <w:t>指标分析</w:t>
      </w:r>
      <w:r>
        <w:rPr>
          <w:rFonts w:hint="default" w:ascii="宋体" w:hAnsi="宋体" w:eastAsia="方正仿宋简体" w:cs="Times New Roman"/>
          <w:color w:val="000000"/>
          <w:kern w:val="0"/>
          <w:sz w:val="33"/>
          <w:szCs w:val="33"/>
        </w:rPr>
        <w:t>（总分</w:t>
      </w:r>
      <w:r>
        <w:rPr>
          <w:rFonts w:hint="default" w:ascii="宋体" w:hAnsi="宋体" w:eastAsia="方正仿宋简体" w:cs="Times New Roman"/>
          <w:color w:val="000000"/>
          <w:kern w:val="0"/>
          <w:sz w:val="33"/>
          <w:szCs w:val="33"/>
          <w:lang w:val="en-US" w:eastAsia="zh-CN"/>
        </w:rPr>
        <w:t>25</w:t>
      </w:r>
      <w:r>
        <w:rPr>
          <w:rFonts w:hint="default" w:ascii="宋体" w:hAnsi="宋体" w:eastAsia="方正仿宋简体" w:cs="Times New Roman"/>
          <w:color w:val="000000"/>
          <w:kern w:val="0"/>
          <w:sz w:val="33"/>
          <w:szCs w:val="33"/>
        </w:rPr>
        <w:t>分，得分</w:t>
      </w:r>
      <w:r>
        <w:rPr>
          <w:rFonts w:hint="default" w:ascii="宋体" w:hAnsi="宋体" w:eastAsia="方正仿宋简体" w:cs="Times New Roman"/>
          <w:color w:val="000000"/>
          <w:kern w:val="0"/>
          <w:sz w:val="33"/>
          <w:szCs w:val="33"/>
          <w:lang w:val="en-US" w:eastAsia="zh-CN"/>
        </w:rPr>
        <w:t>25</w:t>
      </w:r>
      <w:r>
        <w:rPr>
          <w:rFonts w:hint="default" w:ascii="宋体" w:hAnsi="宋体" w:eastAsia="方正仿宋简体" w:cs="Times New Roman"/>
          <w:color w:val="000000"/>
          <w:kern w:val="0"/>
          <w:sz w:val="33"/>
          <w:szCs w:val="33"/>
        </w:rPr>
        <w:t>分）</w:t>
      </w:r>
    </w:p>
    <w:p w14:paraId="5CEE90B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63" w:firstLineChars="200"/>
        <w:jc w:val="both"/>
        <w:textAlignment w:val="auto"/>
        <w:rPr>
          <w:rFonts w:hint="eastAsia" w:ascii="宋体" w:hAnsi="宋体" w:eastAsia="方正仿宋简体"/>
          <w:b/>
          <w:color w:val="000000"/>
          <w:sz w:val="33"/>
          <w:szCs w:val="33"/>
          <w:lang w:val="en-US" w:eastAsia="zh-CN"/>
        </w:rPr>
      </w:pPr>
      <w:r>
        <w:rPr>
          <w:rFonts w:hint="eastAsia" w:ascii="宋体" w:hAnsi="宋体" w:eastAsia="方正仿宋简体"/>
          <w:b/>
          <w:color w:val="000000"/>
          <w:sz w:val="33"/>
          <w:szCs w:val="33"/>
          <w:lang w:val="en-US" w:eastAsia="zh-CN"/>
        </w:rPr>
        <w:t>（1）业务管理</w:t>
      </w:r>
    </w:p>
    <w:p w14:paraId="224AA059">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0" w:firstLineChars="200"/>
        <w:jc w:val="both"/>
        <w:textAlignment w:val="auto"/>
        <w:rPr>
          <w:rFonts w:hint="eastAsia" w:ascii="宋体" w:hAnsi="宋体" w:eastAsia="方正仿宋简体"/>
          <w:color w:val="000000"/>
          <w:sz w:val="33"/>
          <w:szCs w:val="33"/>
          <w:lang w:eastAsia="zh-CN"/>
        </w:rPr>
      </w:pPr>
      <w:r>
        <w:rPr>
          <w:rFonts w:hint="eastAsia" w:ascii="宋体" w:hAnsi="宋体" w:eastAsia="方正仿宋简体"/>
          <w:color w:val="000000"/>
          <w:sz w:val="33"/>
          <w:szCs w:val="33"/>
          <w:lang w:eastAsia="zh-CN"/>
        </w:rPr>
        <w:t>本单位业务管理制度健全，合法、合规、完整；项目实施严格遵守相关法律法规和业务管理规定；项目调整及支出调整手续完备；项目合同书、验收报告、技术鉴定等资料齐全并及时归档。</w:t>
      </w:r>
    </w:p>
    <w:p w14:paraId="1559EF2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63" w:firstLineChars="200"/>
        <w:jc w:val="both"/>
        <w:textAlignment w:val="auto"/>
        <w:rPr>
          <w:rFonts w:hint="eastAsia" w:ascii="宋体" w:hAnsi="宋体" w:eastAsia="方正仿宋简体"/>
          <w:b/>
          <w:color w:val="000000"/>
          <w:sz w:val="33"/>
          <w:szCs w:val="33"/>
          <w:lang w:val="en-US" w:eastAsia="zh-CN"/>
        </w:rPr>
      </w:pPr>
      <w:r>
        <w:rPr>
          <w:rFonts w:hint="eastAsia" w:ascii="宋体" w:hAnsi="宋体" w:eastAsia="方正仿宋简体"/>
          <w:b/>
          <w:color w:val="000000"/>
          <w:sz w:val="33"/>
          <w:szCs w:val="33"/>
          <w:lang w:val="en-US" w:eastAsia="zh-CN"/>
        </w:rPr>
        <w:t>（2）财务管理</w:t>
      </w:r>
    </w:p>
    <w:p w14:paraId="2C86BD8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60" w:firstLineChars="200"/>
        <w:jc w:val="both"/>
        <w:textAlignment w:val="auto"/>
        <w:rPr>
          <w:rFonts w:hint="default" w:ascii="宋体" w:hAnsi="宋体" w:eastAsia="方正仿宋简体" w:cs="Times New Roman"/>
          <w:color w:val="000000"/>
          <w:kern w:val="0"/>
          <w:sz w:val="33"/>
          <w:szCs w:val="33"/>
          <w:lang w:val="en-US" w:eastAsia="zh-CN" w:bidi="ar-SA"/>
        </w:rPr>
      </w:pPr>
      <w:r>
        <w:rPr>
          <w:rFonts w:hint="eastAsia" w:ascii="宋体" w:hAnsi="宋体" w:eastAsia="方正仿宋简体" w:cs="Times New Roman"/>
          <w:color w:val="000000"/>
          <w:kern w:val="0"/>
          <w:sz w:val="33"/>
          <w:szCs w:val="33"/>
          <w:lang w:val="en-US" w:eastAsia="zh-CN" w:bidi="ar-SA"/>
        </w:rPr>
        <w:t>资金使用符合国家财经法规和财务管理制度以及有关专项资金管理办法的规定，资金支付有完整的审批程序，不存在截留、挤占、挪用、虚列支出等情况。</w:t>
      </w:r>
    </w:p>
    <w:p w14:paraId="06E60E39">
      <w:pPr>
        <w:keepNext w:val="0"/>
        <w:keepLines w:val="0"/>
        <w:pageBreakBefore w:val="0"/>
        <w:widowControl w:val="0"/>
        <w:kinsoku/>
        <w:wordWrap/>
        <w:overflowPunct/>
        <w:topLinePunct w:val="0"/>
        <w:autoSpaceDE/>
        <w:autoSpaceDN/>
        <w:bidi w:val="0"/>
        <w:adjustRightInd/>
        <w:snapToGrid/>
        <w:spacing w:line="590" w:lineRule="exact"/>
        <w:ind w:left="0" w:firstLine="663" w:firstLineChars="200"/>
        <w:jc w:val="both"/>
        <w:textAlignment w:val="auto"/>
        <w:rPr>
          <w:rFonts w:hint="default" w:ascii="宋体" w:hAnsi="宋体" w:eastAsia="方正仿宋简体" w:cs="Times New Roman"/>
          <w:color w:val="000000"/>
          <w:kern w:val="0"/>
          <w:sz w:val="33"/>
          <w:szCs w:val="33"/>
        </w:rPr>
      </w:pPr>
      <w:r>
        <w:rPr>
          <w:rFonts w:hint="eastAsia" w:ascii="宋体" w:hAnsi="宋体" w:eastAsia="方正仿宋简体"/>
          <w:b/>
          <w:color w:val="000000"/>
          <w:kern w:val="0"/>
          <w:sz w:val="33"/>
          <w:szCs w:val="33"/>
          <w:lang w:val="en-US" w:eastAsia="zh-CN"/>
        </w:rPr>
        <w:t>3</w:t>
      </w:r>
      <w:r>
        <w:rPr>
          <w:rFonts w:hint="eastAsia" w:ascii="宋体" w:hAnsi="宋体" w:eastAsia="方正仿宋简体"/>
          <w:b/>
          <w:color w:val="000000"/>
          <w:kern w:val="0"/>
          <w:sz w:val="33"/>
          <w:szCs w:val="33"/>
        </w:rPr>
        <w:t>.</w:t>
      </w:r>
      <w:r>
        <w:rPr>
          <w:rFonts w:hint="eastAsia" w:ascii="宋体" w:hAnsi="宋体" w:eastAsia="方正仿宋简体"/>
          <w:b/>
          <w:color w:val="000000"/>
          <w:kern w:val="0"/>
          <w:sz w:val="33"/>
          <w:szCs w:val="33"/>
          <w:lang w:eastAsia="zh-CN"/>
        </w:rPr>
        <w:t>产出</w:t>
      </w:r>
      <w:r>
        <w:rPr>
          <w:rFonts w:hint="eastAsia" w:ascii="宋体" w:hAnsi="宋体" w:eastAsia="方正仿宋简体"/>
          <w:b/>
          <w:color w:val="000000"/>
          <w:kern w:val="0"/>
          <w:sz w:val="33"/>
          <w:szCs w:val="33"/>
        </w:rPr>
        <w:t>指标分析</w:t>
      </w:r>
      <w:r>
        <w:rPr>
          <w:rFonts w:hint="default" w:ascii="宋体" w:hAnsi="宋体" w:eastAsia="方正仿宋简体" w:cs="Times New Roman"/>
          <w:color w:val="000000"/>
          <w:kern w:val="0"/>
          <w:sz w:val="33"/>
          <w:szCs w:val="33"/>
        </w:rPr>
        <w:t>（总分</w:t>
      </w:r>
      <w:r>
        <w:rPr>
          <w:rFonts w:hint="default" w:ascii="宋体" w:hAnsi="宋体" w:eastAsia="方正仿宋简体" w:cs="Times New Roman"/>
          <w:color w:val="000000"/>
          <w:kern w:val="0"/>
          <w:sz w:val="33"/>
          <w:szCs w:val="33"/>
          <w:lang w:val="en-US" w:eastAsia="zh-CN"/>
        </w:rPr>
        <w:t>20</w:t>
      </w:r>
      <w:r>
        <w:rPr>
          <w:rFonts w:hint="default" w:ascii="宋体" w:hAnsi="宋体" w:eastAsia="方正仿宋简体" w:cs="Times New Roman"/>
          <w:color w:val="000000"/>
          <w:kern w:val="0"/>
          <w:sz w:val="33"/>
          <w:szCs w:val="33"/>
        </w:rPr>
        <w:t>分，得分</w:t>
      </w:r>
      <w:r>
        <w:rPr>
          <w:rFonts w:hint="default" w:ascii="宋体" w:hAnsi="宋体" w:eastAsia="方正仿宋简体" w:cs="Times New Roman"/>
          <w:color w:val="000000"/>
          <w:kern w:val="0"/>
          <w:sz w:val="33"/>
          <w:szCs w:val="33"/>
          <w:lang w:val="en-US" w:eastAsia="zh-CN"/>
        </w:rPr>
        <w:t>20</w:t>
      </w:r>
      <w:r>
        <w:rPr>
          <w:rFonts w:hint="default" w:ascii="宋体" w:hAnsi="宋体" w:eastAsia="方正仿宋简体" w:cs="Times New Roman"/>
          <w:color w:val="000000"/>
          <w:kern w:val="0"/>
          <w:sz w:val="33"/>
          <w:szCs w:val="33"/>
        </w:rPr>
        <w:t>分）</w:t>
      </w:r>
    </w:p>
    <w:p w14:paraId="55032A57">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textAlignment w:val="auto"/>
        <w:rPr>
          <w:rFonts w:hint="default" w:ascii="宋体" w:hAnsi="宋体" w:eastAsia="方正仿宋简体" w:cs="Times New Roman"/>
          <w:color w:val="auto"/>
          <w:kern w:val="2"/>
          <w:sz w:val="33"/>
          <w:szCs w:val="33"/>
          <w:shd w:val="clear" w:color="auto" w:fill="FFFFFF"/>
          <w:lang w:val="en-US" w:eastAsia="zh-CN"/>
        </w:rPr>
      </w:pPr>
      <w:r>
        <w:rPr>
          <w:rFonts w:hint="eastAsia" w:ascii="宋体" w:hAnsi="宋体" w:eastAsia="方正仿宋简体"/>
          <w:color w:val="auto"/>
          <w:kern w:val="2"/>
          <w:sz w:val="33"/>
          <w:szCs w:val="33"/>
          <w:shd w:val="clear" w:color="auto" w:fill="FFFFFF"/>
          <w:lang w:eastAsia="zh-CN"/>
        </w:rPr>
        <w:t>实际完成率</w:t>
      </w:r>
      <w:r>
        <w:rPr>
          <w:rFonts w:hint="eastAsia" w:ascii="宋体" w:hAnsi="宋体" w:eastAsia="方正仿宋简体"/>
          <w:color w:val="auto"/>
          <w:kern w:val="2"/>
          <w:sz w:val="33"/>
          <w:szCs w:val="33"/>
          <w:shd w:val="clear" w:color="auto" w:fill="FFFFFF"/>
          <w:lang w:val="en-US" w:eastAsia="zh-CN"/>
        </w:rPr>
        <w:t>=（实际产出数/计划产出数）*100%，</w:t>
      </w:r>
      <w:r>
        <w:rPr>
          <w:rFonts w:hint="eastAsia" w:ascii="宋体" w:hAnsi="宋体" w:eastAsia="方正仿宋简体" w:cs="Times New Roman"/>
          <w:color w:val="auto"/>
          <w:kern w:val="2"/>
          <w:sz w:val="33"/>
          <w:szCs w:val="33"/>
          <w:shd w:val="clear" w:color="auto" w:fill="FFFFFF"/>
          <w:lang w:val="en-US" w:eastAsia="zh-CN"/>
        </w:rPr>
        <w:t>计划平安四川建设年度考评位列全省第一方阵，实际平安四川建设年度考评位列全省第一方阵，实际完成率100%。</w:t>
      </w:r>
    </w:p>
    <w:p w14:paraId="6C77C04B">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textAlignment w:val="auto"/>
        <w:rPr>
          <w:rFonts w:hint="default" w:ascii="宋体" w:hAnsi="宋体" w:eastAsia="方正仿宋简体" w:cs="Times New Roman"/>
          <w:color w:val="auto"/>
          <w:kern w:val="2"/>
          <w:sz w:val="33"/>
          <w:szCs w:val="33"/>
          <w:shd w:val="clear" w:color="auto" w:fill="FFFFFF"/>
          <w:lang w:val="en-US" w:eastAsia="zh-CN"/>
        </w:rPr>
      </w:pPr>
      <w:r>
        <w:rPr>
          <w:rFonts w:hint="eastAsia" w:ascii="宋体" w:hAnsi="宋体" w:eastAsia="方正仿宋简体" w:cs="Times New Roman"/>
          <w:color w:val="auto"/>
          <w:kern w:val="2"/>
          <w:sz w:val="33"/>
          <w:szCs w:val="33"/>
          <w:shd w:val="clear" w:color="auto" w:fill="FFFFFF"/>
          <w:lang w:val="en-US" w:eastAsia="zh-CN"/>
        </w:rPr>
        <w:t>完成及时率=（计划完成时间-实际完成时间）/计划完成时间*100%，平安建设及市域社会治理各项工作任务全部按照时间节点有序推进，在规定时间节点内提前或顺利完成，完成及时率大于100%。</w:t>
      </w:r>
    </w:p>
    <w:p w14:paraId="1626A61D">
      <w:pPr>
        <w:pStyle w:val="6"/>
        <w:keepNext w:val="0"/>
        <w:keepLines w:val="0"/>
        <w:pageBreakBefore w:val="0"/>
        <w:widowControl w:val="0"/>
        <w:kinsoku/>
        <w:wordWrap/>
        <w:overflowPunct/>
        <w:topLinePunct w:val="0"/>
        <w:autoSpaceDE/>
        <w:autoSpaceDN/>
        <w:bidi w:val="0"/>
        <w:adjustRightInd/>
        <w:snapToGrid/>
        <w:spacing w:after="0" w:line="590" w:lineRule="exact"/>
        <w:ind w:left="0" w:leftChars="0" w:firstLine="660" w:firstLineChars="200"/>
        <w:textAlignment w:val="auto"/>
        <w:rPr>
          <w:rFonts w:hint="eastAsia" w:ascii="宋体" w:hAnsi="宋体" w:eastAsia="方正仿宋简体"/>
          <w:color w:val="auto"/>
          <w:sz w:val="33"/>
          <w:szCs w:val="33"/>
          <w:lang w:val="en-US" w:eastAsia="zh-CN"/>
        </w:rPr>
      </w:pPr>
      <w:r>
        <w:rPr>
          <w:rFonts w:hint="eastAsia" w:ascii="宋体" w:hAnsi="宋体" w:eastAsia="方正仿宋简体"/>
          <w:color w:val="auto"/>
          <w:sz w:val="33"/>
          <w:szCs w:val="33"/>
          <w:lang w:val="en-US" w:eastAsia="zh-CN"/>
        </w:rPr>
        <w:t>质量达标率=(质量达标产出数/实际产出数）*100%，平安建设及市域社会治理主要评价指标—防范化解五大风险，确保全市政治社会大局持续安全稳定所涉各项工作任务已圆满完成，质量达标率100%。</w:t>
      </w:r>
    </w:p>
    <w:p w14:paraId="4A913864">
      <w:pPr>
        <w:keepNext w:val="0"/>
        <w:keepLines w:val="0"/>
        <w:pageBreakBefore w:val="0"/>
        <w:widowControl w:val="0"/>
        <w:kinsoku/>
        <w:wordWrap/>
        <w:overflowPunct/>
        <w:topLinePunct w:val="0"/>
        <w:autoSpaceDE/>
        <w:autoSpaceDN/>
        <w:bidi w:val="0"/>
        <w:adjustRightInd/>
        <w:snapToGrid/>
        <w:spacing w:line="590" w:lineRule="exact"/>
        <w:ind w:left="0" w:firstLine="660" w:firstLineChars="200"/>
        <w:textAlignment w:val="auto"/>
        <w:rPr>
          <w:rFonts w:hint="default" w:ascii="宋体" w:hAnsi="宋体" w:eastAsia="方正仿宋简体"/>
          <w:color w:val="auto"/>
          <w:sz w:val="33"/>
          <w:szCs w:val="33"/>
          <w:lang w:val="en-US" w:eastAsia="zh-CN"/>
        </w:rPr>
      </w:pPr>
      <w:r>
        <w:rPr>
          <w:rFonts w:hint="eastAsia" w:ascii="宋体" w:hAnsi="宋体" w:eastAsia="方正仿宋简体"/>
          <w:color w:val="auto"/>
          <w:sz w:val="33"/>
          <w:szCs w:val="33"/>
          <w:lang w:val="en-US" w:eastAsia="zh-CN"/>
        </w:rPr>
        <w:t>成本节约率=[（计划成本-实际成本）/计划成本]*100%=(70-70)/70=0%，年度计划投入资金70万元，实际使用资金70万元，资金结余为0元。</w:t>
      </w:r>
    </w:p>
    <w:p w14:paraId="29057EB0">
      <w:pPr>
        <w:keepNext w:val="0"/>
        <w:keepLines w:val="0"/>
        <w:pageBreakBefore w:val="0"/>
        <w:widowControl w:val="0"/>
        <w:kinsoku/>
        <w:wordWrap/>
        <w:overflowPunct/>
        <w:topLinePunct w:val="0"/>
        <w:autoSpaceDE/>
        <w:autoSpaceDN/>
        <w:bidi w:val="0"/>
        <w:adjustRightInd/>
        <w:snapToGrid/>
        <w:spacing w:line="590" w:lineRule="exact"/>
        <w:ind w:left="0" w:firstLine="663" w:firstLineChars="200"/>
        <w:jc w:val="both"/>
        <w:textAlignment w:val="auto"/>
        <w:rPr>
          <w:rFonts w:hint="eastAsia" w:ascii="宋体" w:hAnsi="宋体" w:eastAsia="方正仿宋简体"/>
          <w:color w:val="000000"/>
          <w:sz w:val="33"/>
          <w:szCs w:val="33"/>
        </w:rPr>
      </w:pPr>
      <w:r>
        <w:rPr>
          <w:rFonts w:hint="eastAsia" w:ascii="宋体" w:hAnsi="宋体" w:eastAsia="方正仿宋简体"/>
          <w:b/>
          <w:color w:val="000000"/>
          <w:kern w:val="0"/>
          <w:sz w:val="33"/>
          <w:szCs w:val="33"/>
          <w:lang w:val="en-US" w:eastAsia="zh-CN"/>
        </w:rPr>
        <w:t>4</w:t>
      </w:r>
      <w:r>
        <w:rPr>
          <w:rFonts w:hint="eastAsia" w:ascii="宋体" w:hAnsi="宋体" w:eastAsia="方正仿宋简体"/>
          <w:b/>
          <w:color w:val="000000"/>
          <w:kern w:val="0"/>
          <w:sz w:val="33"/>
          <w:szCs w:val="33"/>
        </w:rPr>
        <w:t>.</w:t>
      </w:r>
      <w:r>
        <w:rPr>
          <w:rFonts w:hint="eastAsia" w:ascii="宋体" w:hAnsi="宋体" w:eastAsia="方正仿宋简体"/>
          <w:b/>
          <w:color w:val="000000"/>
          <w:kern w:val="0"/>
          <w:sz w:val="33"/>
          <w:szCs w:val="33"/>
          <w:lang w:eastAsia="zh-CN"/>
        </w:rPr>
        <w:t>效果</w:t>
      </w:r>
      <w:r>
        <w:rPr>
          <w:rFonts w:hint="eastAsia" w:ascii="宋体" w:hAnsi="宋体" w:eastAsia="方正仿宋简体"/>
          <w:b/>
          <w:color w:val="000000"/>
          <w:kern w:val="0"/>
          <w:sz w:val="33"/>
          <w:szCs w:val="33"/>
        </w:rPr>
        <w:t>指标分析</w:t>
      </w:r>
      <w:r>
        <w:rPr>
          <w:rFonts w:hint="eastAsia" w:ascii="宋体" w:hAnsi="宋体" w:eastAsia="方正仿宋简体"/>
          <w:color w:val="000000"/>
          <w:kern w:val="0"/>
          <w:sz w:val="33"/>
          <w:szCs w:val="33"/>
        </w:rPr>
        <w:t>（总分</w:t>
      </w:r>
      <w:r>
        <w:rPr>
          <w:rFonts w:ascii="宋体" w:hAnsi="宋体" w:eastAsia="方正仿宋简体" w:cs="Times New Roman"/>
          <w:color w:val="000000"/>
          <w:kern w:val="0"/>
          <w:sz w:val="33"/>
          <w:szCs w:val="33"/>
        </w:rPr>
        <w:t>30分，得分</w:t>
      </w:r>
      <w:r>
        <w:rPr>
          <w:rFonts w:hint="eastAsia" w:ascii="宋体" w:hAnsi="宋体" w:eastAsia="方正仿宋简体" w:cs="Times New Roman"/>
          <w:color w:val="000000"/>
          <w:kern w:val="0"/>
          <w:sz w:val="33"/>
          <w:szCs w:val="33"/>
          <w:lang w:val="en-US" w:eastAsia="zh-CN"/>
        </w:rPr>
        <w:t>30</w:t>
      </w:r>
      <w:r>
        <w:rPr>
          <w:rFonts w:hint="eastAsia" w:ascii="宋体" w:hAnsi="宋体" w:eastAsia="方正仿宋简体"/>
          <w:color w:val="000000"/>
          <w:kern w:val="0"/>
          <w:sz w:val="33"/>
          <w:szCs w:val="33"/>
        </w:rPr>
        <w:t>分）</w:t>
      </w:r>
    </w:p>
    <w:p w14:paraId="5AE7E873">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宋体" w:hAnsi="宋体" w:eastAsia="方正仿宋简体" w:cs="方正仿宋简体"/>
          <w:sz w:val="33"/>
          <w:szCs w:val="33"/>
          <w:lang w:val="en-US"/>
        </w:rPr>
      </w:pPr>
      <w:r>
        <w:rPr>
          <w:rFonts w:hint="eastAsia" w:ascii="宋体" w:hAnsi="宋体" w:eastAsia="方正仿宋简体" w:cs="方正仿宋简体"/>
          <w:sz w:val="33"/>
          <w:szCs w:val="33"/>
          <w:lang w:val="en-US" w:eastAsia="zh-CN"/>
        </w:rPr>
        <w:t>年度内没有发生六个方面负面清单所列事项，平安四川建设考评排名全省第7，位列全省第一方阵，平安建设群众满意度测评达90%以上，圆满实现预期工作目标。</w:t>
      </w:r>
    </w:p>
    <w:p w14:paraId="5E4F397B">
      <w:pPr>
        <w:pStyle w:val="2"/>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firstLine="660" w:firstLineChars="200"/>
        <w:textAlignment w:val="auto"/>
        <w:rPr>
          <w:rFonts w:ascii="宋体" w:hAnsi="宋体" w:eastAsia="方正黑体简体"/>
          <w:sz w:val="33"/>
          <w:szCs w:val="33"/>
        </w:rPr>
      </w:pPr>
      <w:r>
        <w:rPr>
          <w:rFonts w:ascii="宋体" w:hAnsi="宋体" w:eastAsia="方正黑体简体"/>
          <w:sz w:val="33"/>
          <w:szCs w:val="33"/>
        </w:rPr>
        <w:t>主要经验及做法、存在的问题和建议</w:t>
      </w:r>
    </w:p>
    <w:p w14:paraId="3A4C8684">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3" w:firstLineChars="200"/>
        <w:textAlignment w:val="auto"/>
        <w:rPr>
          <w:rFonts w:hint="eastAsia" w:ascii="宋体" w:hAnsi="宋体" w:eastAsia="方正楷体简体" w:cs="Times New Roman"/>
          <w:b/>
          <w:sz w:val="33"/>
          <w:szCs w:val="33"/>
          <w:lang w:val="en-US" w:eastAsia="zh-CN"/>
        </w:rPr>
      </w:pPr>
      <w:r>
        <w:rPr>
          <w:rFonts w:hint="eastAsia" w:ascii="宋体" w:hAnsi="宋体" w:eastAsia="方正楷体简体" w:cs="Times New Roman"/>
          <w:b/>
          <w:sz w:val="33"/>
          <w:szCs w:val="33"/>
          <w:lang w:val="en-US" w:eastAsia="zh-CN"/>
        </w:rPr>
        <w:t>（一）主要经验及做法</w:t>
      </w:r>
    </w:p>
    <w:p w14:paraId="63864027">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lang w:val="en-US" w:eastAsia="zh-CN"/>
        </w:rPr>
      </w:pPr>
      <w:r>
        <w:rPr>
          <w:rFonts w:hint="eastAsia" w:ascii="宋体" w:hAnsi="宋体" w:eastAsia="方正仿宋_GBK"/>
          <w:b/>
          <w:bCs/>
          <w:sz w:val="33"/>
          <w:szCs w:val="33"/>
        </w:rPr>
        <w:t>一是找准切入点，推进</w:t>
      </w:r>
      <w:r>
        <w:rPr>
          <w:rFonts w:hint="eastAsia" w:ascii="宋体" w:hAnsi="宋体" w:eastAsia="方正仿宋_GBK"/>
          <w:b/>
          <w:bCs/>
          <w:sz w:val="33"/>
          <w:szCs w:val="33"/>
          <w:lang w:eastAsia="zh-CN"/>
        </w:rPr>
        <w:t>边际平安</w:t>
      </w:r>
      <w:r>
        <w:rPr>
          <w:rFonts w:hint="eastAsia" w:ascii="宋体" w:hAnsi="宋体" w:eastAsia="方正仿宋_GBK"/>
          <w:b/>
          <w:bCs/>
          <w:sz w:val="33"/>
          <w:szCs w:val="33"/>
        </w:rPr>
        <w:t>联建联创。</w:t>
      </w:r>
      <w:r>
        <w:rPr>
          <w:rFonts w:hint="eastAsia" w:ascii="宋体" w:hAnsi="宋体" w:eastAsia="方正仿宋_GBK"/>
          <w:b w:val="0"/>
          <w:bCs w:val="0"/>
          <w:sz w:val="33"/>
          <w:szCs w:val="33"/>
          <w:lang w:eastAsia="zh-CN"/>
        </w:rPr>
        <w:t>以市域社会治理省级创新项目为抓手，深入推进边际平安协作，</w:t>
      </w:r>
      <w:r>
        <w:rPr>
          <w:rFonts w:hint="eastAsia" w:ascii="宋体" w:hAnsi="宋体" w:eastAsia="方正仿宋_GBK"/>
          <w:sz w:val="33"/>
          <w:szCs w:val="33"/>
          <w:lang w:eastAsia="zh-CN"/>
        </w:rPr>
        <w:t>成功举办首届环资阳地区平安建设边际协作交流会，</w:t>
      </w:r>
      <w:r>
        <w:rPr>
          <w:rFonts w:hint="eastAsia" w:ascii="宋体" w:hAnsi="宋体" w:eastAsia="方正仿宋简体" w:cs="方正仿宋简体"/>
          <w:sz w:val="33"/>
          <w:szCs w:val="33"/>
        </w:rPr>
        <w:t>聚焦边界地区现实问题，创新施行“</w:t>
      </w:r>
      <w:r>
        <w:rPr>
          <w:rFonts w:hint="eastAsia" w:ascii="宋体" w:hAnsi="宋体" w:eastAsia="方正仿宋简体" w:cs="方正仿宋简体"/>
          <w:color w:val="auto"/>
          <w:sz w:val="33"/>
          <w:szCs w:val="33"/>
          <w:lang w:val="en-US" w:eastAsia="zh-CN"/>
        </w:rPr>
        <w:t>1</w:t>
      </w:r>
      <w:r>
        <w:rPr>
          <w:rFonts w:hint="eastAsia" w:ascii="宋体" w:hAnsi="宋体" w:eastAsia="方正仿宋简体" w:cs="方正仿宋简体"/>
          <w:color w:val="auto"/>
          <w:sz w:val="33"/>
          <w:szCs w:val="33"/>
        </w:rPr>
        <w:t>+</w:t>
      </w:r>
      <w:r>
        <w:rPr>
          <w:rFonts w:hint="eastAsia" w:ascii="宋体" w:hAnsi="宋体" w:eastAsia="方正仿宋简体" w:cs="方正仿宋简体"/>
          <w:color w:val="auto"/>
          <w:sz w:val="33"/>
          <w:szCs w:val="33"/>
          <w:lang w:val="en-US" w:eastAsia="zh-CN"/>
        </w:rPr>
        <w:t>4</w:t>
      </w:r>
      <w:r>
        <w:rPr>
          <w:rFonts w:hint="eastAsia" w:ascii="宋体" w:hAnsi="宋体" w:eastAsia="方正仿宋简体" w:cs="方正仿宋简体"/>
          <w:color w:val="auto"/>
          <w:sz w:val="33"/>
          <w:szCs w:val="33"/>
        </w:rPr>
        <w:t>+N</w:t>
      </w:r>
      <w:r>
        <w:rPr>
          <w:rFonts w:hint="eastAsia" w:ascii="宋体" w:hAnsi="宋体" w:eastAsia="方正仿宋简体" w:cs="方正仿宋简体"/>
          <w:sz w:val="33"/>
          <w:szCs w:val="33"/>
        </w:rPr>
        <w:t>”工作新模式，为共建川渝大平安、助推川渝大发展提供了资阳实践</w:t>
      </w:r>
      <w:r>
        <w:rPr>
          <w:rFonts w:hint="eastAsia" w:ascii="宋体" w:hAnsi="宋体" w:eastAsia="方正仿宋_GBK" w:cs="方正仿宋_GBK"/>
          <w:sz w:val="33"/>
          <w:szCs w:val="33"/>
          <w:lang w:val="en" w:eastAsia="zh-CN"/>
        </w:rPr>
        <w:t>，</w:t>
      </w:r>
      <w:r>
        <w:rPr>
          <w:rFonts w:hint="eastAsia" w:ascii="宋体" w:hAnsi="宋体" w:eastAsia="方正仿宋_GBK" w:cs="方正仿宋简体"/>
          <w:sz w:val="33"/>
          <w:szCs w:val="33"/>
        </w:rPr>
        <w:t>相关工作</w:t>
      </w:r>
      <w:r>
        <w:rPr>
          <w:rFonts w:hint="eastAsia" w:ascii="宋体" w:hAnsi="宋体" w:eastAsia="方正仿宋_GBK" w:cs="方正仿宋简体"/>
          <w:sz w:val="33"/>
          <w:szCs w:val="33"/>
          <w:lang w:eastAsia="zh-CN"/>
        </w:rPr>
        <w:t>做法</w:t>
      </w:r>
      <w:r>
        <w:rPr>
          <w:rFonts w:hint="eastAsia" w:ascii="宋体" w:hAnsi="宋体" w:eastAsia="方正仿宋_GBK" w:cs="方正仿宋简体"/>
          <w:sz w:val="33"/>
          <w:szCs w:val="33"/>
        </w:rPr>
        <w:t>被平安四川建设工作简报推广和多家中、省主流媒体报道</w:t>
      </w:r>
      <w:r>
        <w:rPr>
          <w:rFonts w:hint="eastAsia" w:ascii="宋体" w:hAnsi="宋体" w:eastAsia="方正仿宋_GBK" w:cs="方正仿宋简体"/>
          <w:sz w:val="33"/>
          <w:szCs w:val="33"/>
          <w:lang w:eastAsia="zh-CN"/>
        </w:rPr>
        <w:t>，</w:t>
      </w:r>
      <w:r>
        <w:rPr>
          <w:rFonts w:hint="eastAsia" w:ascii="宋体" w:hAnsi="宋体" w:eastAsia="方正仿宋_GBK" w:cs="方正仿宋_GBK"/>
          <w:spacing w:val="-2"/>
          <w:sz w:val="33"/>
          <w:szCs w:val="33"/>
          <w:lang w:val="en-US" w:eastAsia="zh-CN"/>
        </w:rPr>
        <w:t>平安建设边际协经验材料作被中政委《平安中国年鉴》地方特色专栏全文收录</w:t>
      </w:r>
      <w:r>
        <w:rPr>
          <w:rFonts w:hint="eastAsia" w:ascii="宋体" w:hAnsi="宋体" w:eastAsia="方正仿宋_GBK" w:cs="方正仿宋简体"/>
          <w:sz w:val="33"/>
          <w:szCs w:val="33"/>
        </w:rPr>
        <w:t>。</w:t>
      </w:r>
      <w:r>
        <w:rPr>
          <w:rFonts w:hint="eastAsia" w:ascii="宋体" w:hAnsi="宋体" w:eastAsia="方正仿宋_GBK" w:cs="方正仿宋简体"/>
          <w:b/>
          <w:bCs/>
          <w:sz w:val="33"/>
          <w:szCs w:val="33"/>
        </w:rPr>
        <w:t>二是找准着力点，推动矛盾纠纷多元化解。</w:t>
      </w:r>
      <w:r>
        <w:rPr>
          <w:rFonts w:hint="eastAsia" w:ascii="宋体" w:hAnsi="宋体" w:eastAsia="方正仿宋_GBK" w:cs="方正仿宋简体"/>
          <w:sz w:val="33"/>
          <w:szCs w:val="33"/>
        </w:rPr>
        <w:t>坚持和发扬新时代“枫桥经验”，创新个性化、专业化、多元化矛盾纠纷</w:t>
      </w:r>
      <w:r>
        <w:rPr>
          <w:rFonts w:hint="eastAsia" w:ascii="宋体" w:hAnsi="宋体" w:eastAsia="方正仿宋_GBK" w:cs="方正仿宋简体"/>
          <w:sz w:val="33"/>
          <w:szCs w:val="33"/>
          <w:lang w:eastAsia="zh-CN"/>
        </w:rPr>
        <w:t>预防调处</w:t>
      </w:r>
      <w:r>
        <w:rPr>
          <w:rFonts w:hint="eastAsia" w:ascii="宋体" w:hAnsi="宋体" w:eastAsia="方正仿宋_GBK" w:cs="方正仿宋简体"/>
          <w:sz w:val="33"/>
          <w:szCs w:val="33"/>
        </w:rPr>
        <w:t>化解新模式，完善源头化解新格局。打造“小镇法官”工作室，把司法服务送到群众“家门口”，擦亮“乡土味”法官服务品牌，相关工作经验被中政委收录</w:t>
      </w:r>
      <w:r>
        <w:rPr>
          <w:rFonts w:hint="eastAsia" w:ascii="宋体" w:hAnsi="宋体" w:eastAsia="方正仿宋_GBK" w:cs="方正仿宋简体"/>
          <w:sz w:val="33"/>
          <w:szCs w:val="33"/>
          <w:lang w:eastAsia="zh-CN"/>
        </w:rPr>
        <w:t>入</w:t>
      </w:r>
      <w:r>
        <w:rPr>
          <w:rFonts w:hint="eastAsia" w:ascii="宋体" w:hAnsi="宋体" w:eastAsia="方正仿宋_GBK" w:cs="方正仿宋简体"/>
          <w:sz w:val="33"/>
          <w:szCs w:val="33"/>
        </w:rPr>
        <w:t>《创新推动基层矛盾纠纷多元化解法治化成果汇编》，纳入全国“枫桥式”工作法评选名单。</w:t>
      </w:r>
      <w:r>
        <w:rPr>
          <w:rFonts w:hint="eastAsia" w:ascii="宋体" w:hAnsi="宋体" w:eastAsia="方正仿宋_GBK" w:cs="方正仿宋简体"/>
          <w:b/>
          <w:bCs/>
          <w:sz w:val="33"/>
          <w:szCs w:val="33"/>
        </w:rPr>
        <w:t>三是</w:t>
      </w:r>
      <w:r>
        <w:rPr>
          <w:rFonts w:hint="eastAsia" w:ascii="宋体" w:hAnsi="宋体" w:eastAsia="方正仿宋_GBK"/>
          <w:b/>
          <w:bCs/>
          <w:sz w:val="33"/>
          <w:szCs w:val="33"/>
        </w:rPr>
        <w:t>找准关键点，加强重点问题综合治理。</w:t>
      </w:r>
      <w:r>
        <w:rPr>
          <w:rFonts w:hint="eastAsia" w:ascii="宋体" w:hAnsi="宋体" w:eastAsia="方正仿宋_GBK"/>
          <w:sz w:val="33"/>
          <w:szCs w:val="33"/>
        </w:rPr>
        <w:t>坚持端口</w:t>
      </w:r>
      <w:r>
        <w:rPr>
          <w:rFonts w:hint="eastAsia" w:ascii="宋体" w:hAnsi="宋体" w:eastAsia="方正仿宋_GBK"/>
          <w:sz w:val="33"/>
          <w:szCs w:val="33"/>
          <w:lang w:eastAsia="zh-CN"/>
        </w:rPr>
        <w:t>前移</w:t>
      </w:r>
      <w:r>
        <w:rPr>
          <w:rFonts w:hint="eastAsia" w:ascii="宋体" w:hAnsi="宋体" w:eastAsia="方正仿宋_GBK"/>
          <w:sz w:val="33"/>
          <w:szCs w:val="33"/>
        </w:rPr>
        <w:t>，</w:t>
      </w:r>
      <w:r>
        <w:rPr>
          <w:rFonts w:hint="eastAsia" w:ascii="宋体" w:hAnsi="宋体" w:eastAsia="方正仿宋_GBK" w:cs="方正仿宋简体"/>
          <w:sz w:val="33"/>
          <w:szCs w:val="33"/>
        </w:rPr>
        <w:t>强化重点人群服务管理，</w:t>
      </w:r>
      <w:r>
        <w:rPr>
          <w:rFonts w:hint="eastAsia" w:ascii="宋体" w:hAnsi="宋体" w:eastAsia="方正仿宋_GBK" w:cs="方正仿宋简体"/>
          <w:sz w:val="33"/>
          <w:szCs w:val="33"/>
          <w:lang w:eastAsia="zh-CN"/>
        </w:rPr>
        <w:t>我</w:t>
      </w:r>
      <w:r>
        <w:rPr>
          <w:rFonts w:hint="eastAsia" w:ascii="宋体" w:hAnsi="宋体" w:eastAsia="方正仿宋_GBK" w:cs="方正仿宋简体"/>
          <w:sz w:val="33"/>
          <w:szCs w:val="33"/>
        </w:rPr>
        <w:t>市化解吸毒人员漏管失控风险事件工作经验作为典型案例，获国家禁毒办发文推广；强化法治思维、靶向综合施策，全力攻坚破解“问题楼盘”处置难题，</w:t>
      </w:r>
      <w:r>
        <w:rPr>
          <w:rFonts w:hint="eastAsia" w:ascii="宋体" w:hAnsi="宋体" w:eastAsia="方正仿宋_GBK" w:cs="方正仿宋简体"/>
          <w:sz w:val="33"/>
          <w:szCs w:val="33"/>
          <w:lang w:eastAsia="zh-CN"/>
        </w:rPr>
        <w:t>实现全市</w:t>
      </w:r>
      <w:r>
        <w:rPr>
          <w:rFonts w:hint="eastAsia" w:ascii="宋体" w:hAnsi="宋体" w:eastAsia="方正仿宋_GBK" w:cs="方正仿宋简体"/>
          <w:sz w:val="33"/>
          <w:szCs w:val="33"/>
          <w:lang w:val="en-US" w:eastAsia="zh-CN"/>
        </w:rPr>
        <w:t>48个问题楼盘基本清零，我市</w:t>
      </w:r>
      <w:r>
        <w:rPr>
          <w:rFonts w:hint="eastAsia" w:ascii="宋体" w:hAnsi="宋体" w:eastAsia="方正仿宋_GBK" w:cs="方正仿宋简体"/>
          <w:sz w:val="33"/>
          <w:szCs w:val="33"/>
        </w:rPr>
        <w:t>《发挥法院联动机制作用 推动“问题楼盘”破茧重生》被住建部作为问题楼盘化解工作典型经验发文推广。</w:t>
      </w:r>
    </w:p>
    <w:p w14:paraId="53B983BF">
      <w:pPr>
        <w:pStyle w:val="2"/>
        <w:keepNext w:val="0"/>
        <w:keepLines w:val="0"/>
        <w:pageBreakBefore w:val="0"/>
        <w:widowControl w:val="0"/>
        <w:kinsoku/>
        <w:wordWrap/>
        <w:overflowPunct/>
        <w:topLinePunct w:val="0"/>
        <w:autoSpaceDE/>
        <w:autoSpaceDN/>
        <w:bidi w:val="0"/>
        <w:adjustRightInd/>
        <w:snapToGrid/>
        <w:spacing w:after="0" w:line="590" w:lineRule="exact"/>
        <w:ind w:firstLine="663" w:firstLineChars="200"/>
        <w:textAlignment w:val="auto"/>
        <w:rPr>
          <w:rFonts w:hint="eastAsia" w:ascii="宋体" w:hAnsi="宋体" w:eastAsia="方正楷体简体" w:cs="Times New Roman"/>
          <w:b/>
          <w:sz w:val="33"/>
          <w:szCs w:val="33"/>
          <w:lang w:val="en-US" w:eastAsia="zh-CN"/>
        </w:rPr>
      </w:pPr>
      <w:r>
        <w:rPr>
          <w:rFonts w:hint="eastAsia" w:ascii="宋体" w:hAnsi="宋体" w:eastAsia="方正楷体简体" w:cs="Times New Roman"/>
          <w:b/>
          <w:sz w:val="33"/>
          <w:szCs w:val="33"/>
          <w:lang w:val="en-US" w:eastAsia="zh-CN"/>
        </w:rPr>
        <w:t>（二）存在问题</w:t>
      </w:r>
    </w:p>
    <w:p w14:paraId="763D5BD9">
      <w:pPr>
        <w:pStyle w:val="2"/>
        <w:adjustRightInd w:val="0"/>
        <w:spacing w:after="0" w:line="590" w:lineRule="exact"/>
        <w:ind w:firstLine="663" w:firstLineChars="200"/>
        <w:rPr>
          <w:rFonts w:hint="eastAsia" w:ascii="宋体" w:hAnsi="宋体" w:eastAsia="方正仿宋_GBK"/>
          <w:color w:val="FF0000"/>
          <w:sz w:val="33"/>
          <w:szCs w:val="33"/>
          <w:lang w:val="en-US" w:eastAsia="zh-CN"/>
        </w:rPr>
      </w:pPr>
      <w:r>
        <w:rPr>
          <w:rFonts w:hint="eastAsia" w:ascii="宋体" w:hAnsi="宋体" w:eastAsia="方正仿宋_GBK" w:cs="Times New Roman"/>
          <w:b/>
          <w:bCs/>
          <w:kern w:val="2"/>
          <w:sz w:val="33"/>
          <w:szCs w:val="33"/>
          <w:lang w:val="en-US" w:eastAsia="zh-CN" w:bidi="ar-SA"/>
        </w:rPr>
        <w:t>一是部分专项组职能作用发挥还有待加强。</w:t>
      </w:r>
      <w:r>
        <w:rPr>
          <w:rFonts w:hint="eastAsia" w:ascii="宋体" w:hAnsi="宋体" w:eastAsia="方正仿宋_GBK" w:cs="方正仿宋_GBK"/>
          <w:spacing w:val="-2"/>
          <w:sz w:val="33"/>
          <w:szCs w:val="33"/>
        </w:rPr>
        <w:t>当前，部分专项组对自身</w:t>
      </w:r>
      <w:r>
        <w:rPr>
          <w:rFonts w:hint="eastAsia" w:ascii="宋体" w:hAnsi="宋体" w:eastAsia="方正仿宋_GBK" w:cs="方正仿宋_GBK"/>
          <w:spacing w:val="-2"/>
          <w:sz w:val="33"/>
          <w:szCs w:val="33"/>
          <w:lang w:eastAsia="zh-CN"/>
        </w:rPr>
        <w:t>职能</w:t>
      </w:r>
      <w:r>
        <w:rPr>
          <w:rFonts w:hint="eastAsia" w:ascii="宋体" w:hAnsi="宋体" w:eastAsia="方正仿宋_GBK" w:cs="方正仿宋_GBK"/>
          <w:spacing w:val="-2"/>
          <w:sz w:val="33"/>
          <w:szCs w:val="33"/>
        </w:rPr>
        <w:t>职责理解还不够深入，工作推动还不够积极，职能作用发挥还有待加强，在资源力量整合方面表现不够主动，没有充分发挥专项组在各自领域牵头抓总作用，导致部分成员单位平安建设工作推动出现越来越被动的不良局面。</w:t>
      </w:r>
      <w:r>
        <w:rPr>
          <w:rFonts w:hint="eastAsia" w:ascii="宋体" w:hAnsi="宋体" w:eastAsia="方正仿宋_GBK" w:cs="Times New Roman"/>
          <w:b/>
          <w:bCs/>
          <w:kern w:val="2"/>
          <w:sz w:val="33"/>
          <w:szCs w:val="33"/>
          <w:lang w:val="en-US" w:eastAsia="zh-CN" w:bidi="ar-SA"/>
        </w:rPr>
        <w:t>二是社会矛盾风险隐患源头治理资源力量有待优化。</w:t>
      </w:r>
      <w:r>
        <w:rPr>
          <w:rFonts w:hint="eastAsia" w:ascii="宋体" w:hAnsi="宋体" w:eastAsia="方正仿宋_GBK" w:cs="方正仿宋_GBK"/>
          <w:sz w:val="33"/>
          <w:szCs w:val="33"/>
        </w:rPr>
        <w:t>基层乡镇、村社干部、政法力量等解纷力量整合不足，常态化联动开展矛盾风险隐患预防化解的机制尚未有效建立。基层解纷力量不足，多数人民调解员由乡镇、村社干部兼任，“乡贤”“五老人员”等社会力量参与度不高；有的地方仅在社区配备有专职网格员，且部分网格划分过大，导致网格员作用发挥不充分。</w:t>
      </w:r>
      <w:r>
        <w:rPr>
          <w:rFonts w:hint="eastAsia" w:ascii="宋体" w:hAnsi="宋体" w:eastAsia="方正仿宋_GBK" w:cs="Times New Roman"/>
          <w:b/>
          <w:bCs/>
          <w:kern w:val="2"/>
          <w:sz w:val="33"/>
          <w:szCs w:val="33"/>
          <w:lang w:val="en-US" w:eastAsia="zh-CN" w:bidi="ar-SA"/>
        </w:rPr>
        <w:t>三是法律服务水平有待提升。</w:t>
      </w:r>
      <w:r>
        <w:rPr>
          <w:rFonts w:hint="eastAsia" w:ascii="宋体" w:hAnsi="宋体" w:eastAsia="方正仿宋_GBK"/>
          <w:sz w:val="33"/>
          <w:szCs w:val="33"/>
        </w:rPr>
        <w:t>法治宣传教育的针对性、精准性不高，普法工作不够精细、宣传方式比较单一，常规普法较多，聚焦群众、企业关心关切问题的专题普法较少，法治氛围不够浓厚。法律专业人才（组织）参与公共法律服务的积极性不高，法律援助服务深度广度不够，法律咨询解答的针对性、专业化还有待提升。</w:t>
      </w:r>
    </w:p>
    <w:p w14:paraId="081B10C5">
      <w:pPr>
        <w:pStyle w:val="2"/>
        <w:keepNext w:val="0"/>
        <w:keepLines w:val="0"/>
        <w:pageBreakBefore w:val="0"/>
        <w:widowControl w:val="0"/>
        <w:kinsoku/>
        <w:wordWrap/>
        <w:overflowPunct/>
        <w:topLinePunct w:val="0"/>
        <w:autoSpaceDE/>
        <w:autoSpaceDN/>
        <w:bidi w:val="0"/>
        <w:adjustRightInd/>
        <w:snapToGrid/>
        <w:spacing w:after="0" w:line="590" w:lineRule="exact"/>
        <w:ind w:left="0" w:firstLine="663" w:firstLineChars="200"/>
        <w:textAlignment w:val="auto"/>
        <w:rPr>
          <w:rFonts w:hint="eastAsia" w:ascii="宋体" w:hAnsi="宋体" w:eastAsia="方正楷体简体" w:cs="Times New Roman"/>
          <w:b/>
          <w:sz w:val="33"/>
          <w:szCs w:val="33"/>
          <w:lang w:val="en-US" w:eastAsia="zh-CN"/>
        </w:rPr>
      </w:pPr>
      <w:r>
        <w:rPr>
          <w:rFonts w:hint="eastAsia" w:ascii="宋体" w:hAnsi="宋体" w:eastAsia="方正楷体简体" w:cs="Times New Roman"/>
          <w:b/>
          <w:sz w:val="33"/>
          <w:szCs w:val="33"/>
          <w:lang w:val="en-US" w:eastAsia="zh-CN"/>
        </w:rPr>
        <w:t>（三）建议和改进措施</w:t>
      </w:r>
    </w:p>
    <w:p w14:paraId="3A06C983">
      <w:pPr>
        <w:autoSpaceDE w:val="0"/>
        <w:adjustRightInd w:val="0"/>
        <w:spacing w:line="590" w:lineRule="exact"/>
        <w:ind w:firstLine="663" w:firstLineChars="200"/>
        <w:rPr>
          <w:rFonts w:hint="eastAsia" w:ascii="宋体" w:hAnsi="宋体" w:eastAsia="方正仿宋简体"/>
          <w:sz w:val="33"/>
          <w:szCs w:val="33"/>
          <w:lang w:val="en-US" w:eastAsia="zh-CN"/>
        </w:rPr>
      </w:pPr>
      <w:r>
        <w:rPr>
          <w:rFonts w:hint="eastAsia" w:ascii="宋体" w:hAnsi="宋体" w:eastAsia="方正仿宋_GBK" w:cs="Times New Roman"/>
          <w:b/>
          <w:bCs/>
          <w:kern w:val="2"/>
          <w:sz w:val="33"/>
          <w:szCs w:val="33"/>
          <w:lang w:val="en-US" w:eastAsia="zh-CN" w:bidi="ar-SA"/>
        </w:rPr>
        <w:t>一是聚焦主责主业，全力确保政治社会大局稳定。</w:t>
      </w:r>
      <w:r>
        <w:rPr>
          <w:rFonts w:hint="eastAsia" w:ascii="宋体" w:hAnsi="宋体" w:eastAsia="方正仿宋_GBK"/>
          <w:sz w:val="33"/>
          <w:szCs w:val="33"/>
          <w:lang w:eastAsia="zh-CN"/>
        </w:rPr>
        <w:t>紧紧围绕</w:t>
      </w:r>
      <w:r>
        <w:rPr>
          <w:rFonts w:hint="eastAsia" w:ascii="宋体" w:hAnsi="宋体" w:eastAsia="方正仿宋_GBK"/>
          <w:sz w:val="33"/>
          <w:szCs w:val="33"/>
        </w:rPr>
        <w:t>“市域成为重大风险终结地”的</w:t>
      </w:r>
      <w:r>
        <w:rPr>
          <w:rFonts w:hint="eastAsia" w:ascii="宋体" w:hAnsi="宋体" w:eastAsia="方正仿宋_GBK"/>
          <w:sz w:val="33"/>
          <w:szCs w:val="33"/>
          <w:lang w:eastAsia="zh-CN"/>
        </w:rPr>
        <w:t>基本</w:t>
      </w:r>
      <w:r>
        <w:rPr>
          <w:rFonts w:hint="eastAsia" w:ascii="宋体" w:hAnsi="宋体" w:eastAsia="方正仿宋_GBK"/>
          <w:sz w:val="33"/>
          <w:szCs w:val="33"/>
        </w:rPr>
        <w:t>目标</w:t>
      </w:r>
      <w:r>
        <w:rPr>
          <w:rFonts w:hint="eastAsia" w:ascii="宋体" w:hAnsi="宋体" w:eastAsia="方正仿宋_GBK"/>
          <w:spacing w:val="-6"/>
          <w:sz w:val="33"/>
          <w:szCs w:val="33"/>
        </w:rPr>
        <w:t>，清单式推进《关于深入推进平安四川建设的若干措施》《关于推进平安四川建设重点任务分工实施方案》落地落实。</w:t>
      </w:r>
      <w:r>
        <w:rPr>
          <w:rFonts w:hint="eastAsia" w:ascii="宋体" w:hAnsi="宋体" w:eastAsia="方正仿宋_GBK"/>
          <w:sz w:val="33"/>
          <w:szCs w:val="33"/>
          <w:lang w:eastAsia="zh-CN"/>
        </w:rPr>
        <w:t>持续聚焦</w:t>
      </w:r>
      <w:r>
        <w:rPr>
          <w:rFonts w:hint="eastAsia" w:ascii="宋体" w:hAnsi="宋体" w:eastAsia="方正仿宋_GBK"/>
          <w:sz w:val="33"/>
          <w:szCs w:val="33"/>
        </w:rPr>
        <w:t>“防范化解五</w:t>
      </w:r>
      <w:r>
        <w:rPr>
          <w:rFonts w:hint="eastAsia" w:ascii="宋体" w:hAnsi="宋体" w:eastAsia="方正仿宋_GBK"/>
          <w:sz w:val="33"/>
          <w:szCs w:val="33"/>
          <w:lang w:eastAsia="zh-CN"/>
        </w:rPr>
        <w:t>大</w:t>
      </w:r>
      <w:r>
        <w:rPr>
          <w:rFonts w:hint="eastAsia" w:ascii="宋体" w:hAnsi="宋体" w:eastAsia="方正仿宋_GBK"/>
          <w:sz w:val="33"/>
          <w:szCs w:val="33"/>
        </w:rPr>
        <w:t>风险”的主责主业，</w:t>
      </w:r>
      <w:r>
        <w:rPr>
          <w:rFonts w:hint="eastAsia" w:ascii="宋体" w:hAnsi="宋体" w:eastAsia="方正仿宋简体"/>
          <w:kern w:val="0"/>
          <w:sz w:val="33"/>
          <w:szCs w:val="33"/>
        </w:rPr>
        <w:t>深入推进</w:t>
      </w:r>
      <w:r>
        <w:rPr>
          <w:rFonts w:hint="eastAsia" w:ascii="宋体" w:hAnsi="宋体" w:eastAsia="方正仿宋简体"/>
          <w:kern w:val="0"/>
          <w:sz w:val="33"/>
          <w:szCs w:val="33"/>
          <w:lang w:eastAsia="zh-CN"/>
        </w:rPr>
        <w:t>“五反”</w:t>
      </w:r>
      <w:r>
        <w:rPr>
          <w:rFonts w:hint="eastAsia" w:ascii="宋体" w:hAnsi="宋体" w:eastAsia="方正仿宋简体"/>
          <w:kern w:val="0"/>
          <w:sz w:val="33"/>
          <w:szCs w:val="33"/>
        </w:rPr>
        <w:t>斗争，深化落实</w:t>
      </w:r>
      <w:r>
        <w:rPr>
          <w:rFonts w:hint="eastAsia" w:ascii="宋体" w:hAnsi="宋体" w:eastAsia="方正仿宋简体"/>
          <w:sz w:val="33"/>
          <w:szCs w:val="33"/>
        </w:rPr>
        <w:t>重大决策社会稳定风险评估机制，大力发展新时代“枫桥经验”资阳模式，持续深化诉源治理，</w:t>
      </w:r>
      <w:r>
        <w:rPr>
          <w:rFonts w:hint="eastAsia" w:ascii="宋体" w:hAnsi="宋体" w:eastAsia="方正仿宋简体"/>
          <w:sz w:val="33"/>
          <w:szCs w:val="33"/>
          <w:lang w:eastAsia="zh-CN"/>
        </w:rPr>
        <w:t>加强重点人群服务管理，</w:t>
      </w:r>
      <w:r>
        <w:rPr>
          <w:rFonts w:hint="eastAsia" w:ascii="宋体" w:hAnsi="宋体" w:eastAsia="方正仿宋_GBK"/>
          <w:sz w:val="33"/>
          <w:szCs w:val="33"/>
        </w:rPr>
        <w:t>最大限度将矛盾化解在</w:t>
      </w:r>
      <w:r>
        <w:rPr>
          <w:rFonts w:hint="eastAsia" w:ascii="宋体" w:hAnsi="宋体" w:eastAsia="方正仿宋_GBK"/>
          <w:sz w:val="33"/>
          <w:szCs w:val="33"/>
          <w:lang w:eastAsia="zh-CN"/>
        </w:rPr>
        <w:t>基层</w:t>
      </w:r>
      <w:r>
        <w:rPr>
          <w:rFonts w:hint="eastAsia" w:ascii="宋体" w:hAnsi="宋体" w:eastAsia="方正仿宋_GBK"/>
          <w:sz w:val="33"/>
          <w:szCs w:val="33"/>
        </w:rPr>
        <w:t>、</w:t>
      </w:r>
      <w:r>
        <w:rPr>
          <w:rFonts w:hint="eastAsia" w:ascii="宋体" w:hAnsi="宋体" w:eastAsia="方正仿宋_GBK"/>
          <w:sz w:val="33"/>
          <w:szCs w:val="33"/>
          <w:lang w:eastAsia="zh-CN"/>
        </w:rPr>
        <w:t>稳控</w:t>
      </w:r>
      <w:r>
        <w:rPr>
          <w:rFonts w:hint="eastAsia" w:ascii="宋体" w:hAnsi="宋体" w:eastAsia="方正仿宋_GBK"/>
          <w:sz w:val="33"/>
          <w:szCs w:val="33"/>
        </w:rPr>
        <w:t>在</w:t>
      </w:r>
      <w:r>
        <w:rPr>
          <w:rFonts w:hint="eastAsia" w:ascii="宋体" w:hAnsi="宋体" w:eastAsia="方正仿宋_GBK"/>
          <w:sz w:val="33"/>
          <w:szCs w:val="33"/>
          <w:lang w:eastAsia="zh-CN"/>
        </w:rPr>
        <w:t>市域</w:t>
      </w:r>
      <w:r>
        <w:rPr>
          <w:rFonts w:hint="eastAsia" w:ascii="宋体" w:hAnsi="宋体" w:eastAsia="方正仿宋_GBK"/>
          <w:sz w:val="33"/>
          <w:szCs w:val="33"/>
        </w:rPr>
        <w:t>。</w:t>
      </w:r>
      <w:r>
        <w:rPr>
          <w:rFonts w:hint="eastAsia" w:ascii="宋体" w:hAnsi="宋体" w:eastAsia="方正仿宋_GBK" w:cs="Times New Roman"/>
          <w:b/>
          <w:bCs/>
          <w:kern w:val="2"/>
          <w:sz w:val="33"/>
          <w:szCs w:val="33"/>
          <w:lang w:val="en-US" w:eastAsia="zh-CN" w:bidi="ar-SA"/>
        </w:rPr>
        <w:t>二是狠抓短板弱项提升，着力提高法治服务保障水平。</w:t>
      </w:r>
      <w:r>
        <w:rPr>
          <w:rFonts w:hint="eastAsia" w:ascii="宋体" w:hAnsi="宋体" w:eastAsia="方正仿宋_GBK" w:cs="方正仿宋_GBK"/>
          <w:sz w:val="33"/>
          <w:szCs w:val="33"/>
        </w:rPr>
        <w:t>健全完善专项组工作机制，充分带动各成员单位工作主动性，提升平安建设工作质效。探索运用平安指数，助力实现社会精准治理。推进解纷资源力量优化整合，建强培优人民调解员队伍，推进人民调解、行政调解、司法调解“三调联动”，实现矛盾纠纷“一站式”多元化解。深化成渝毗邻地区政法协作机制，在执法司法协作、法律服务、资源共建共享、安全稳定等更多领域开展跨区域深度协作。着力提升执法司法质效、政策精准协同水平、法律服务工作效能，提升法治服务保障高质量发展集成性精准度。</w:t>
      </w:r>
      <w:r>
        <w:rPr>
          <w:rFonts w:hint="eastAsia" w:ascii="宋体" w:hAnsi="宋体" w:eastAsia="方正仿宋_GBK" w:cs="Times New Roman"/>
          <w:b/>
          <w:bCs/>
          <w:kern w:val="2"/>
          <w:sz w:val="33"/>
          <w:szCs w:val="33"/>
          <w:lang w:val="en-US" w:eastAsia="zh-CN" w:bidi="ar-SA"/>
        </w:rPr>
        <w:t>三是着力创新项目打造，加快推动特色亮点汇聚成势。</w:t>
      </w:r>
      <w:r>
        <w:rPr>
          <w:rFonts w:hint="eastAsia" w:ascii="宋体" w:hAnsi="宋体" w:eastAsia="方正仿宋_GBK"/>
          <w:sz w:val="33"/>
          <w:szCs w:val="33"/>
        </w:rPr>
        <w:t>对</w:t>
      </w:r>
      <w:r>
        <w:rPr>
          <w:rFonts w:hint="eastAsia" w:ascii="宋体" w:hAnsi="宋体"/>
          <w:sz w:val="33"/>
          <w:szCs w:val="33"/>
        </w:rPr>
        <w:t>1</w:t>
      </w:r>
      <w:r>
        <w:rPr>
          <w:rFonts w:hint="eastAsia" w:ascii="宋体" w:hAnsi="宋体" w:eastAsia="方正仿宋_GBK"/>
          <w:sz w:val="33"/>
          <w:szCs w:val="33"/>
        </w:rPr>
        <w:t>个国家级和</w:t>
      </w:r>
      <w:r>
        <w:rPr>
          <w:rFonts w:hint="eastAsia" w:ascii="宋体" w:hAnsi="宋体"/>
          <w:sz w:val="33"/>
          <w:szCs w:val="33"/>
        </w:rPr>
        <w:t>4</w:t>
      </w:r>
      <w:r>
        <w:rPr>
          <w:rFonts w:hint="eastAsia" w:ascii="宋体" w:hAnsi="宋体" w:eastAsia="方正仿宋_GBK"/>
          <w:sz w:val="33"/>
          <w:szCs w:val="33"/>
        </w:rPr>
        <w:t>个省级创新项目重点打造，加强条块结合，进行深化拓展，从“建用结合、以建为主”向“建用结合、以用为主”转化。重点推进川渝边界毗邻地区平安联建联创，提升服务成渝地区双城经济圈和成资同城化建设水平。探索挖掘市县乡村创新项目，定期召开市级试点创新研讨班，把好的经验做法推广复制，推动各类项目创新落地，培育更多“资阳品牌”，宣传更多资阳做法、资阳经验和资阳声音。</w:t>
      </w:r>
    </w:p>
    <w:p w14:paraId="5B441156">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ascii="宋体" w:hAnsi="宋体" w:eastAsia="方正仿宋简体"/>
          <w:sz w:val="33"/>
          <w:szCs w:val="33"/>
        </w:rPr>
      </w:pPr>
    </w:p>
    <w:p w14:paraId="6DD75612">
      <w:pPr>
        <w:pStyle w:val="2"/>
        <w:keepNext w:val="0"/>
        <w:keepLines w:val="0"/>
        <w:pageBreakBefore w:val="0"/>
        <w:widowControl w:val="0"/>
        <w:kinsoku/>
        <w:wordWrap/>
        <w:overflowPunct/>
        <w:topLinePunct w:val="0"/>
        <w:autoSpaceDE/>
        <w:autoSpaceDN/>
        <w:bidi w:val="0"/>
        <w:adjustRightInd/>
        <w:snapToGrid/>
        <w:spacing w:after="0" w:line="590" w:lineRule="exact"/>
        <w:ind w:firstLine="660" w:firstLineChars="200"/>
        <w:textAlignment w:val="auto"/>
        <w:rPr>
          <w:rFonts w:ascii="宋体" w:hAnsi="宋体" w:eastAsia="方正仿宋简体"/>
          <w:color w:val="000000"/>
          <w:kern w:val="0"/>
          <w:sz w:val="33"/>
          <w:szCs w:val="33"/>
        </w:rPr>
      </w:pPr>
      <w:r>
        <w:rPr>
          <w:rFonts w:ascii="宋体" w:hAnsi="宋体" w:eastAsia="方正仿宋简体"/>
          <w:sz w:val="33"/>
          <w:szCs w:val="33"/>
        </w:rPr>
        <w:t>附</w:t>
      </w:r>
      <w:r>
        <w:rPr>
          <w:rFonts w:hint="eastAsia" w:ascii="宋体" w:hAnsi="宋体" w:eastAsia="方正仿宋简体"/>
          <w:sz w:val="33"/>
          <w:szCs w:val="33"/>
          <w:lang w:eastAsia="zh-CN"/>
        </w:rPr>
        <w:t>件</w:t>
      </w:r>
      <w:r>
        <w:rPr>
          <w:rFonts w:ascii="宋体" w:hAnsi="宋体" w:eastAsia="方正仿宋简体"/>
          <w:sz w:val="33"/>
          <w:szCs w:val="33"/>
        </w:rPr>
        <w:t>：</w:t>
      </w:r>
      <w:r>
        <w:rPr>
          <w:rFonts w:ascii="宋体" w:hAnsi="宋体" w:eastAsia="方正仿宋简体"/>
          <w:color w:val="000000"/>
          <w:kern w:val="0"/>
          <w:sz w:val="33"/>
          <w:szCs w:val="33"/>
        </w:rPr>
        <w:t>1．20</w:t>
      </w:r>
      <w:r>
        <w:rPr>
          <w:rFonts w:hint="eastAsia" w:ascii="宋体" w:hAnsi="宋体" w:eastAsia="方正仿宋简体"/>
          <w:color w:val="000000"/>
          <w:kern w:val="0"/>
          <w:sz w:val="33"/>
          <w:szCs w:val="33"/>
        </w:rPr>
        <w:t>2</w:t>
      </w:r>
      <w:r>
        <w:rPr>
          <w:rFonts w:hint="eastAsia" w:ascii="宋体" w:hAnsi="宋体" w:eastAsia="方正仿宋简体"/>
          <w:color w:val="000000"/>
          <w:kern w:val="0"/>
          <w:sz w:val="33"/>
          <w:szCs w:val="33"/>
          <w:lang w:val="en-US" w:eastAsia="zh-CN"/>
        </w:rPr>
        <w:t>3</w:t>
      </w:r>
      <w:r>
        <w:rPr>
          <w:rFonts w:ascii="宋体" w:hAnsi="宋体" w:eastAsia="方正仿宋简体"/>
          <w:color w:val="000000"/>
          <w:kern w:val="0"/>
          <w:sz w:val="33"/>
          <w:szCs w:val="33"/>
        </w:rPr>
        <w:t>年度市本级项目支出绩效自评计分表</w:t>
      </w:r>
    </w:p>
    <w:p w14:paraId="7EC02A86">
      <w:pPr>
        <w:pStyle w:val="2"/>
        <w:keepNext w:val="0"/>
        <w:keepLines w:val="0"/>
        <w:pageBreakBefore w:val="0"/>
        <w:widowControl w:val="0"/>
        <w:kinsoku/>
        <w:wordWrap/>
        <w:overflowPunct/>
        <w:topLinePunct w:val="0"/>
        <w:autoSpaceDE/>
        <w:autoSpaceDN/>
        <w:bidi w:val="0"/>
        <w:adjustRightInd/>
        <w:snapToGrid/>
        <w:spacing w:after="0" w:line="590" w:lineRule="exact"/>
        <w:ind w:firstLine="1650" w:firstLineChars="500"/>
        <w:textAlignment w:val="auto"/>
        <w:rPr>
          <w:rFonts w:ascii="宋体" w:hAnsi="宋体" w:eastAsia="方正仿宋简体"/>
          <w:color w:val="000000"/>
          <w:spacing w:val="-11"/>
          <w:kern w:val="0"/>
          <w:sz w:val="32"/>
          <w:szCs w:val="32"/>
        </w:rPr>
      </w:pPr>
      <w:r>
        <w:rPr>
          <w:rFonts w:ascii="宋体" w:hAnsi="宋体" w:eastAsia="方正仿宋简体"/>
          <w:sz w:val="33"/>
          <w:szCs w:val="33"/>
        </w:rPr>
        <w:t>2．</w:t>
      </w:r>
      <w:r>
        <w:rPr>
          <w:rFonts w:ascii="宋体" w:hAnsi="宋体" w:eastAsia="方正仿宋简体"/>
          <w:color w:val="000000"/>
          <w:kern w:val="0"/>
          <w:sz w:val="33"/>
          <w:szCs w:val="33"/>
        </w:rPr>
        <w:t>20</w:t>
      </w:r>
      <w:r>
        <w:rPr>
          <w:rFonts w:hint="eastAsia" w:ascii="宋体" w:hAnsi="宋体" w:eastAsia="方正仿宋简体"/>
          <w:color w:val="000000"/>
          <w:kern w:val="0"/>
          <w:sz w:val="33"/>
          <w:szCs w:val="33"/>
        </w:rPr>
        <w:t>2</w:t>
      </w:r>
      <w:r>
        <w:rPr>
          <w:rFonts w:hint="eastAsia" w:ascii="宋体" w:hAnsi="宋体" w:eastAsia="方正仿宋简体"/>
          <w:color w:val="000000"/>
          <w:kern w:val="0"/>
          <w:sz w:val="33"/>
          <w:szCs w:val="33"/>
          <w:lang w:val="en-US" w:eastAsia="zh-CN"/>
        </w:rPr>
        <w:t>3</w:t>
      </w:r>
      <w:r>
        <w:rPr>
          <w:rFonts w:ascii="宋体" w:hAnsi="宋体" w:eastAsia="方正仿宋简体"/>
          <w:color w:val="000000"/>
          <w:spacing w:val="-11"/>
          <w:kern w:val="0"/>
          <w:sz w:val="33"/>
          <w:szCs w:val="33"/>
        </w:rPr>
        <w:t>年度市本级项目支出绩效目标完成情况表</w:t>
      </w:r>
    </w:p>
    <w:p w14:paraId="224C7059">
      <w:pPr>
        <w:spacing w:line="590" w:lineRule="exact"/>
        <w:jc w:val="left"/>
        <w:rPr>
          <w:rFonts w:ascii="宋体" w:hAnsi="宋体" w:eastAsia="方正黑体简体"/>
          <w:sz w:val="32"/>
          <w:szCs w:val="32"/>
        </w:rPr>
      </w:pPr>
    </w:p>
    <w:p w14:paraId="201DC17F">
      <w:pPr>
        <w:spacing w:line="590" w:lineRule="exact"/>
        <w:jc w:val="left"/>
        <w:rPr>
          <w:rFonts w:ascii="宋体" w:hAnsi="宋体" w:eastAsia="方正黑体简体"/>
          <w:sz w:val="32"/>
          <w:szCs w:val="32"/>
        </w:rPr>
      </w:pPr>
    </w:p>
    <w:p w14:paraId="577ED140">
      <w:pPr>
        <w:spacing w:line="590" w:lineRule="exact"/>
        <w:jc w:val="left"/>
        <w:rPr>
          <w:rFonts w:ascii="宋体" w:hAnsi="宋体" w:eastAsia="方正黑体简体"/>
          <w:sz w:val="32"/>
          <w:szCs w:val="32"/>
        </w:rPr>
      </w:pPr>
    </w:p>
    <w:p w14:paraId="6741D020">
      <w:pPr>
        <w:pStyle w:val="2"/>
        <w:rPr>
          <w:rFonts w:ascii="宋体" w:hAnsi="宋体" w:eastAsia="方正黑体简体"/>
          <w:sz w:val="32"/>
          <w:szCs w:val="32"/>
        </w:rPr>
      </w:pPr>
    </w:p>
    <w:p w14:paraId="2E818346">
      <w:pPr>
        <w:pStyle w:val="3"/>
        <w:rPr>
          <w:rFonts w:ascii="宋体" w:hAnsi="宋体" w:eastAsia="方正黑体简体"/>
          <w:sz w:val="32"/>
          <w:szCs w:val="32"/>
        </w:rPr>
      </w:pPr>
    </w:p>
    <w:p w14:paraId="368ED170">
      <w:pPr>
        <w:rPr>
          <w:rFonts w:ascii="宋体" w:hAnsi="宋体" w:eastAsia="方正黑体简体"/>
          <w:sz w:val="32"/>
          <w:szCs w:val="32"/>
        </w:rPr>
      </w:pPr>
    </w:p>
    <w:p w14:paraId="59F2C761">
      <w:pPr>
        <w:pStyle w:val="2"/>
        <w:rPr>
          <w:rFonts w:ascii="宋体" w:hAnsi="宋体" w:eastAsia="方正黑体简体"/>
          <w:sz w:val="32"/>
          <w:szCs w:val="32"/>
        </w:rPr>
      </w:pPr>
    </w:p>
    <w:p w14:paraId="5C053216">
      <w:pPr>
        <w:pStyle w:val="3"/>
        <w:rPr>
          <w:rFonts w:ascii="宋体" w:hAnsi="宋体" w:eastAsia="方正黑体简体"/>
          <w:sz w:val="32"/>
          <w:szCs w:val="32"/>
        </w:rPr>
      </w:pPr>
    </w:p>
    <w:p w14:paraId="1092DAAF">
      <w:pPr>
        <w:rPr>
          <w:rFonts w:ascii="宋体" w:hAnsi="宋体" w:eastAsia="方正黑体简体"/>
          <w:sz w:val="32"/>
          <w:szCs w:val="32"/>
        </w:rPr>
      </w:pPr>
    </w:p>
    <w:p w14:paraId="4AEE94B3">
      <w:pPr>
        <w:pStyle w:val="2"/>
        <w:rPr>
          <w:rFonts w:ascii="宋体" w:hAnsi="宋体" w:eastAsia="方正黑体简体"/>
          <w:sz w:val="32"/>
          <w:szCs w:val="32"/>
        </w:rPr>
      </w:pPr>
    </w:p>
    <w:p w14:paraId="4ECD1935">
      <w:pPr>
        <w:pStyle w:val="3"/>
        <w:rPr>
          <w:rFonts w:ascii="宋体" w:hAnsi="宋体" w:eastAsia="方正黑体简体"/>
          <w:sz w:val="32"/>
          <w:szCs w:val="32"/>
        </w:rPr>
      </w:pPr>
    </w:p>
    <w:p w14:paraId="34AD8003">
      <w:pPr>
        <w:rPr>
          <w:rFonts w:ascii="宋体" w:hAnsi="宋体" w:eastAsia="方正黑体简体"/>
          <w:sz w:val="32"/>
          <w:szCs w:val="32"/>
        </w:rPr>
      </w:pPr>
    </w:p>
    <w:p w14:paraId="3BC611FF">
      <w:pPr>
        <w:pStyle w:val="2"/>
        <w:rPr>
          <w:rFonts w:ascii="宋体" w:hAnsi="宋体" w:eastAsia="方正黑体简体"/>
          <w:sz w:val="32"/>
          <w:szCs w:val="32"/>
        </w:rPr>
      </w:pPr>
    </w:p>
    <w:p w14:paraId="45626D07">
      <w:pPr>
        <w:pStyle w:val="3"/>
        <w:rPr>
          <w:rFonts w:ascii="宋体" w:hAnsi="宋体" w:eastAsia="方正黑体简体"/>
          <w:sz w:val="32"/>
          <w:szCs w:val="32"/>
        </w:rPr>
      </w:pPr>
    </w:p>
    <w:p w14:paraId="6987705A">
      <w:pPr>
        <w:rPr>
          <w:rFonts w:ascii="宋体" w:hAnsi="宋体" w:eastAsia="方正黑体简体"/>
          <w:sz w:val="32"/>
          <w:szCs w:val="32"/>
        </w:rPr>
      </w:pPr>
    </w:p>
    <w:p w14:paraId="52B49C17">
      <w:pPr>
        <w:pStyle w:val="2"/>
        <w:rPr>
          <w:rFonts w:ascii="宋体" w:hAnsi="宋体" w:eastAsia="方正黑体简体"/>
          <w:sz w:val="32"/>
          <w:szCs w:val="32"/>
        </w:rPr>
      </w:pPr>
    </w:p>
    <w:p w14:paraId="160446AE">
      <w:pPr>
        <w:pStyle w:val="3"/>
        <w:rPr>
          <w:rFonts w:ascii="宋体" w:hAnsi="宋体" w:eastAsia="方正黑体简体"/>
          <w:sz w:val="32"/>
          <w:szCs w:val="32"/>
        </w:rPr>
      </w:pPr>
    </w:p>
    <w:p w14:paraId="72FBC088">
      <w:pPr>
        <w:rPr>
          <w:rFonts w:ascii="宋体" w:hAnsi="宋体" w:eastAsia="方正黑体简体"/>
          <w:sz w:val="32"/>
          <w:szCs w:val="32"/>
        </w:rPr>
      </w:pPr>
    </w:p>
    <w:p w14:paraId="2258243A">
      <w:pPr>
        <w:rPr>
          <w:rFonts w:ascii="宋体" w:hAnsi="宋体"/>
        </w:rPr>
      </w:pPr>
    </w:p>
    <w:p w14:paraId="4EFE9D8F">
      <w:pPr>
        <w:spacing w:line="590" w:lineRule="exact"/>
        <w:jc w:val="left"/>
        <w:rPr>
          <w:rFonts w:hint="eastAsia" w:ascii="宋体" w:hAnsi="宋体" w:eastAsia="方正黑体简体"/>
          <w:sz w:val="32"/>
          <w:szCs w:val="32"/>
        </w:rPr>
      </w:pPr>
      <w:r>
        <w:rPr>
          <w:rFonts w:ascii="宋体" w:hAnsi="宋体" w:eastAsia="方正黑体简体"/>
          <w:sz w:val="32"/>
          <w:szCs w:val="32"/>
        </w:rPr>
        <w:t>附</w:t>
      </w:r>
      <w:r>
        <w:rPr>
          <w:rFonts w:hint="eastAsia" w:ascii="宋体" w:hAnsi="宋体" w:eastAsia="方正黑体简体"/>
          <w:sz w:val="32"/>
          <w:szCs w:val="32"/>
          <w:lang w:eastAsia="zh-CN"/>
        </w:rPr>
        <w:t>表</w:t>
      </w:r>
      <w:r>
        <w:rPr>
          <w:rFonts w:hint="eastAsia" w:ascii="宋体" w:hAnsi="宋体" w:eastAsia="方正黑体简体"/>
          <w:sz w:val="32"/>
          <w:szCs w:val="32"/>
          <w:lang w:val="en-US" w:eastAsia="zh-CN"/>
        </w:rPr>
        <w:t>3-</w:t>
      </w:r>
      <w:r>
        <w:rPr>
          <w:rFonts w:hint="eastAsia" w:ascii="宋体" w:hAnsi="宋体" w:eastAsia="宋体" w:cs="宋体"/>
          <w:sz w:val="32"/>
          <w:szCs w:val="32"/>
        </w:rPr>
        <w:t>1</w:t>
      </w:r>
    </w:p>
    <w:p w14:paraId="74C1E9A9">
      <w:pPr>
        <w:spacing w:line="590" w:lineRule="exact"/>
        <w:jc w:val="center"/>
        <w:rPr>
          <w:rFonts w:ascii="宋体" w:hAnsi="宋体" w:eastAsia="方正小标宋简体"/>
          <w:bCs/>
          <w:kern w:val="0"/>
          <w:sz w:val="40"/>
          <w:szCs w:val="40"/>
        </w:rPr>
      </w:pPr>
      <w:r>
        <w:rPr>
          <w:rFonts w:hint="eastAsia" w:ascii="宋体" w:hAnsi="宋体" w:eastAsia="宋体" w:cs="宋体"/>
          <w:bCs/>
          <w:kern w:val="0"/>
          <w:sz w:val="40"/>
          <w:szCs w:val="40"/>
        </w:rPr>
        <w:t>202</w:t>
      </w:r>
      <w:r>
        <w:rPr>
          <w:rFonts w:hint="eastAsia" w:ascii="宋体" w:hAnsi="宋体" w:eastAsia="宋体" w:cs="宋体"/>
          <w:bCs/>
          <w:kern w:val="0"/>
          <w:sz w:val="40"/>
          <w:szCs w:val="40"/>
          <w:lang w:val="en-US" w:eastAsia="zh-CN"/>
        </w:rPr>
        <w:t>3</w:t>
      </w:r>
      <w:r>
        <w:rPr>
          <w:rFonts w:ascii="宋体" w:hAnsi="宋体" w:eastAsia="方正小标宋简体"/>
          <w:bCs/>
          <w:kern w:val="0"/>
          <w:sz w:val="40"/>
          <w:szCs w:val="40"/>
        </w:rPr>
        <w:t>年度市本级项目支出绩效自评计分表</w:t>
      </w:r>
    </w:p>
    <w:p w14:paraId="7C979BAD">
      <w:pPr>
        <w:spacing w:line="590" w:lineRule="exact"/>
        <w:jc w:val="center"/>
        <w:rPr>
          <w:rFonts w:ascii="宋体" w:hAnsi="宋体" w:eastAsia="楷体_GB2312"/>
          <w:b/>
          <w:bCs/>
          <w:kern w:val="0"/>
          <w:sz w:val="20"/>
          <w:szCs w:val="20"/>
        </w:rPr>
      </w:pPr>
      <w:r>
        <w:rPr>
          <w:rFonts w:ascii="宋体" w:hAnsi="宋体" w:eastAsia="楷体_GB2312"/>
          <w:b/>
          <w:bCs/>
          <w:kern w:val="0"/>
          <w:sz w:val="20"/>
          <w:szCs w:val="20"/>
        </w:rPr>
        <w:t>（</w:t>
      </w:r>
      <w:r>
        <w:rPr>
          <w:rFonts w:hint="eastAsia" w:ascii="宋体" w:hAnsi="宋体" w:eastAsia="楷体_GB2312"/>
          <w:b/>
          <w:bCs/>
          <w:kern w:val="0"/>
          <w:sz w:val="20"/>
          <w:szCs w:val="20"/>
        </w:rPr>
        <w:t>平安建设-市域社会治理现代化试点工作</w:t>
      </w:r>
      <w:r>
        <w:rPr>
          <w:rFonts w:ascii="宋体" w:hAnsi="宋体" w:eastAsia="楷体_GB2312"/>
          <w:b/>
          <w:bCs/>
          <w:kern w:val="0"/>
          <w:sz w:val="20"/>
          <w:szCs w:val="20"/>
        </w:rPr>
        <w:t>）</w:t>
      </w:r>
    </w:p>
    <w:p w14:paraId="090AB998">
      <w:pPr>
        <w:spacing w:line="590" w:lineRule="exact"/>
        <w:rPr>
          <w:rFonts w:hint="eastAsia" w:ascii="宋体" w:hAnsi="宋体" w:eastAsia="楷体_GB2312"/>
          <w:sz w:val="32"/>
          <w:szCs w:val="32"/>
        </w:rPr>
      </w:pPr>
      <w:r>
        <w:rPr>
          <w:rFonts w:ascii="宋体" w:hAnsi="宋体" w:eastAsia="楷体_GB2312"/>
          <w:b/>
          <w:bCs/>
          <w:kern w:val="0"/>
          <w:sz w:val="20"/>
          <w:szCs w:val="20"/>
        </w:rPr>
        <w:t>预算单位名称：</w:t>
      </w:r>
      <w:r>
        <w:rPr>
          <w:rFonts w:hint="eastAsia" w:ascii="宋体" w:hAnsi="宋体" w:eastAsia="楷体_GB2312"/>
          <w:b/>
          <w:bCs/>
          <w:kern w:val="0"/>
          <w:sz w:val="20"/>
          <w:szCs w:val="20"/>
        </w:rPr>
        <w:t>中共资阳市委政法委员会</w:t>
      </w:r>
      <w:r>
        <w:rPr>
          <w:rFonts w:ascii="宋体" w:hAnsi="宋体" w:eastAsia="楷体_GB2312"/>
          <w:b/>
          <w:bCs/>
          <w:kern w:val="0"/>
          <w:sz w:val="20"/>
          <w:szCs w:val="20"/>
        </w:rPr>
        <w:t xml:space="preserve">       预算单位编码：</w:t>
      </w:r>
      <w:r>
        <w:rPr>
          <w:rFonts w:hint="eastAsia" w:ascii="宋体" w:hAnsi="宋体" w:eastAsia="楷体_GB2312"/>
          <w:b/>
          <w:bCs/>
          <w:kern w:val="0"/>
          <w:sz w:val="20"/>
          <w:szCs w:val="20"/>
        </w:rPr>
        <w:t>106001</w:t>
      </w:r>
      <w:r>
        <w:rPr>
          <w:rFonts w:ascii="宋体" w:hAnsi="宋体" w:eastAsia="楷体_GB2312"/>
          <w:b/>
          <w:bCs/>
          <w:kern w:val="0"/>
          <w:sz w:val="20"/>
          <w:szCs w:val="20"/>
        </w:rPr>
        <w:t xml:space="preserve">       自评等级：</w:t>
      </w:r>
      <w:r>
        <w:rPr>
          <w:rFonts w:hint="eastAsia" w:ascii="宋体" w:hAnsi="宋体" w:eastAsia="楷体_GB2312"/>
          <w:b/>
          <w:bCs/>
          <w:kern w:val="0"/>
          <w:sz w:val="20"/>
          <w:szCs w:val="20"/>
        </w:rPr>
        <w:t>优</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48"/>
        <w:gridCol w:w="798"/>
        <w:gridCol w:w="1648"/>
        <w:gridCol w:w="3489"/>
        <w:gridCol w:w="877"/>
        <w:gridCol w:w="846"/>
      </w:tblGrid>
      <w:tr w14:paraId="5026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816" w:type="dxa"/>
            <w:shd w:val="clear" w:color="000000" w:fill="FFFFFF"/>
            <w:noWrap w:val="0"/>
            <w:vAlign w:val="center"/>
          </w:tcPr>
          <w:p w14:paraId="0E4DAC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一级</w:t>
            </w:r>
            <w:r>
              <w:rPr>
                <w:rFonts w:ascii="宋体" w:hAnsi="宋体"/>
                <w:b/>
                <w:bCs/>
                <w:kern w:val="0"/>
                <w:sz w:val="20"/>
                <w:szCs w:val="20"/>
              </w:rPr>
              <w:br w:type="textWrapping"/>
            </w:r>
            <w:r>
              <w:rPr>
                <w:rFonts w:ascii="宋体" w:hAnsi="宋体"/>
                <w:b/>
                <w:bCs/>
                <w:kern w:val="0"/>
                <w:sz w:val="20"/>
                <w:szCs w:val="20"/>
              </w:rPr>
              <w:t>指标</w:t>
            </w:r>
          </w:p>
        </w:tc>
        <w:tc>
          <w:tcPr>
            <w:tcW w:w="648" w:type="dxa"/>
            <w:shd w:val="clear" w:color="000000" w:fill="FFFFFF"/>
            <w:noWrap w:val="0"/>
            <w:vAlign w:val="center"/>
          </w:tcPr>
          <w:p w14:paraId="41C9AC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二级</w:t>
            </w:r>
            <w:r>
              <w:rPr>
                <w:rFonts w:ascii="宋体" w:hAnsi="宋体"/>
                <w:b/>
                <w:bCs/>
                <w:kern w:val="0"/>
                <w:sz w:val="20"/>
                <w:szCs w:val="20"/>
              </w:rPr>
              <w:br w:type="textWrapping"/>
            </w:r>
            <w:r>
              <w:rPr>
                <w:rFonts w:ascii="宋体" w:hAnsi="宋体"/>
                <w:b/>
                <w:bCs/>
                <w:kern w:val="0"/>
                <w:sz w:val="20"/>
                <w:szCs w:val="20"/>
              </w:rPr>
              <w:t>指标</w:t>
            </w:r>
          </w:p>
        </w:tc>
        <w:tc>
          <w:tcPr>
            <w:tcW w:w="798" w:type="dxa"/>
            <w:shd w:val="clear" w:color="000000" w:fill="FFFFFF"/>
            <w:noWrap w:val="0"/>
            <w:vAlign w:val="center"/>
          </w:tcPr>
          <w:p w14:paraId="4615FB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三级</w:t>
            </w:r>
          </w:p>
          <w:p w14:paraId="7F2D42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w:t>
            </w:r>
          </w:p>
        </w:tc>
        <w:tc>
          <w:tcPr>
            <w:tcW w:w="1648" w:type="dxa"/>
            <w:shd w:val="clear" w:color="000000" w:fill="FFFFFF"/>
            <w:noWrap w:val="0"/>
            <w:vAlign w:val="center"/>
          </w:tcPr>
          <w:p w14:paraId="68507F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指标解释</w:t>
            </w:r>
          </w:p>
        </w:tc>
        <w:tc>
          <w:tcPr>
            <w:tcW w:w="3489" w:type="dxa"/>
            <w:shd w:val="clear" w:color="000000" w:fill="FFFFFF"/>
            <w:noWrap w:val="0"/>
            <w:vAlign w:val="center"/>
          </w:tcPr>
          <w:p w14:paraId="7ED5B7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指标说明（评价计分标准）</w:t>
            </w:r>
          </w:p>
        </w:tc>
        <w:tc>
          <w:tcPr>
            <w:tcW w:w="877" w:type="dxa"/>
            <w:shd w:val="clear" w:color="000000" w:fill="FFFFFF"/>
            <w:noWrap w:val="0"/>
            <w:vAlign w:val="center"/>
          </w:tcPr>
          <w:p w14:paraId="7C3424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自评</w:t>
            </w:r>
          </w:p>
          <w:p w14:paraId="56AAB4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分数</w:t>
            </w:r>
          </w:p>
        </w:tc>
        <w:tc>
          <w:tcPr>
            <w:tcW w:w="846" w:type="dxa"/>
            <w:shd w:val="clear" w:color="000000" w:fill="FFFFFF"/>
            <w:noWrap w:val="0"/>
            <w:vAlign w:val="center"/>
          </w:tcPr>
          <w:p w14:paraId="254A7E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自评依据及说明</w:t>
            </w:r>
          </w:p>
        </w:tc>
      </w:tr>
      <w:tr w14:paraId="5F2B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16" w:type="dxa"/>
            <w:vMerge w:val="restart"/>
            <w:shd w:val="clear" w:color="000000" w:fill="FFFFFF"/>
            <w:noWrap w:val="0"/>
            <w:textDirection w:val="tbRlV"/>
            <w:vAlign w:val="center"/>
          </w:tcPr>
          <w:p w14:paraId="4A42F9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投   入（25分）</w:t>
            </w:r>
          </w:p>
        </w:tc>
        <w:tc>
          <w:tcPr>
            <w:tcW w:w="648" w:type="dxa"/>
            <w:vMerge w:val="restart"/>
            <w:shd w:val="clear" w:color="000000" w:fill="FFFFFF"/>
            <w:noWrap w:val="0"/>
            <w:vAlign w:val="center"/>
          </w:tcPr>
          <w:p w14:paraId="7DE2BD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立项（15分）</w:t>
            </w:r>
          </w:p>
        </w:tc>
        <w:tc>
          <w:tcPr>
            <w:tcW w:w="798" w:type="dxa"/>
            <w:shd w:val="clear" w:color="000000" w:fill="FFFFFF"/>
            <w:noWrap w:val="0"/>
            <w:vAlign w:val="center"/>
          </w:tcPr>
          <w:p w14:paraId="7C860F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项目立项规范性（5分）</w:t>
            </w:r>
          </w:p>
        </w:tc>
        <w:tc>
          <w:tcPr>
            <w:tcW w:w="1648" w:type="dxa"/>
            <w:shd w:val="clear" w:color="000000" w:fill="FFFFFF"/>
            <w:noWrap w:val="0"/>
            <w:vAlign w:val="center"/>
          </w:tcPr>
          <w:p w14:paraId="2AF7C30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项目的申请、设立过程是否符合相关要求，用以反映和考核项目立项的规范情况。</w:t>
            </w:r>
          </w:p>
        </w:tc>
        <w:tc>
          <w:tcPr>
            <w:tcW w:w="3489" w:type="dxa"/>
            <w:shd w:val="clear" w:color="000000" w:fill="FFFFFF"/>
            <w:noWrap w:val="0"/>
            <w:vAlign w:val="center"/>
          </w:tcPr>
          <w:p w14:paraId="46F107B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项目是否按照规定的程序申请设立；（1分）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所提交的文件、材料是否符合相关要求；（2分）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事前是否已经过必要的可行性研究、专家论证、风险评估、集体决策等。（2分）</w:t>
            </w:r>
          </w:p>
        </w:tc>
        <w:tc>
          <w:tcPr>
            <w:tcW w:w="877" w:type="dxa"/>
            <w:noWrap w:val="0"/>
            <w:vAlign w:val="center"/>
          </w:tcPr>
          <w:p w14:paraId="448002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5</w:t>
            </w:r>
            <w:r>
              <w:rPr>
                <w:rFonts w:ascii="宋体" w:hAnsi="宋体"/>
                <w:kern w:val="0"/>
                <w:sz w:val="24"/>
              </w:rPr>
              <w:t>　</w:t>
            </w:r>
          </w:p>
        </w:tc>
        <w:tc>
          <w:tcPr>
            <w:tcW w:w="846" w:type="dxa"/>
            <w:noWrap w:val="0"/>
            <w:vAlign w:val="center"/>
          </w:tcPr>
          <w:p w14:paraId="569C12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A67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816" w:type="dxa"/>
            <w:vMerge w:val="continue"/>
            <w:shd w:val="clear" w:color="auto" w:fill="auto"/>
            <w:noWrap w:val="0"/>
            <w:vAlign w:val="center"/>
          </w:tcPr>
          <w:p w14:paraId="3012DB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6B395E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0478AB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绩效目标合理性（4分）</w:t>
            </w:r>
          </w:p>
        </w:tc>
        <w:tc>
          <w:tcPr>
            <w:tcW w:w="1648" w:type="dxa"/>
            <w:shd w:val="clear" w:color="000000" w:fill="FFFFFF"/>
            <w:noWrap w:val="0"/>
            <w:vAlign w:val="center"/>
          </w:tcPr>
          <w:p w14:paraId="55B74F7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项目所设定的绩效目标是否依据充分，是否符合客观实际，用以反映和考核项目绩效目标与项目实施的相符情况。</w:t>
            </w:r>
          </w:p>
        </w:tc>
        <w:tc>
          <w:tcPr>
            <w:tcW w:w="3489" w:type="dxa"/>
            <w:shd w:val="clear" w:color="000000" w:fill="FFFFFF"/>
            <w:noWrap w:val="0"/>
            <w:vAlign w:val="center"/>
          </w:tcPr>
          <w:p w14:paraId="5AD3312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是否符合国家相关法律法规、国民经济发展规划和党委政府决策；（1分）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是否与项目实施单位或委托单位职责密切相关；（1分）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项目是否为促进事业发展所必需；（1分）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项目预期产出效益和效果是否符合正常的业绩水平。（1分）</w:t>
            </w:r>
          </w:p>
        </w:tc>
        <w:tc>
          <w:tcPr>
            <w:tcW w:w="877" w:type="dxa"/>
            <w:noWrap w:val="0"/>
            <w:vAlign w:val="center"/>
          </w:tcPr>
          <w:p w14:paraId="52EA0DC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4</w:t>
            </w:r>
          </w:p>
        </w:tc>
        <w:tc>
          <w:tcPr>
            <w:tcW w:w="846" w:type="dxa"/>
            <w:noWrap w:val="0"/>
            <w:vAlign w:val="center"/>
          </w:tcPr>
          <w:p w14:paraId="545439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43F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816" w:type="dxa"/>
            <w:vMerge w:val="continue"/>
            <w:shd w:val="clear" w:color="auto" w:fill="auto"/>
            <w:noWrap w:val="0"/>
            <w:vAlign w:val="center"/>
          </w:tcPr>
          <w:p w14:paraId="0970F6C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6FC763A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67CF11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绩效指标明确性（6分）</w:t>
            </w:r>
          </w:p>
        </w:tc>
        <w:tc>
          <w:tcPr>
            <w:tcW w:w="1648" w:type="dxa"/>
            <w:shd w:val="clear" w:color="000000" w:fill="FFFFFF"/>
            <w:noWrap w:val="0"/>
            <w:vAlign w:val="center"/>
          </w:tcPr>
          <w:p w14:paraId="053979C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依据绩效目标设定的绩效指标是否清晰、细化、可衡量等，用以反映和考核项目绩效目标的明细化情况。</w:t>
            </w:r>
          </w:p>
        </w:tc>
        <w:tc>
          <w:tcPr>
            <w:tcW w:w="3489" w:type="dxa"/>
            <w:shd w:val="clear" w:color="000000" w:fill="FFFFFF"/>
            <w:noWrap w:val="0"/>
            <w:vAlign w:val="center"/>
          </w:tcPr>
          <w:p w14:paraId="0901117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是否将项目绩效目标细化分解为具体的绩效指标；（2分）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是否通过清晰、可衡量的指标值予以体现；（1分）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是否与项目年度任务数或计划数相对应；（1分）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是否与预算确定的项目投资额或资金量相匹配。（2分）</w:t>
            </w:r>
          </w:p>
        </w:tc>
        <w:tc>
          <w:tcPr>
            <w:tcW w:w="877" w:type="dxa"/>
            <w:noWrap w:val="0"/>
            <w:vAlign w:val="center"/>
          </w:tcPr>
          <w:p w14:paraId="11CD1C3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6</w:t>
            </w:r>
            <w:r>
              <w:rPr>
                <w:rFonts w:ascii="宋体" w:hAnsi="宋体"/>
                <w:kern w:val="0"/>
                <w:sz w:val="24"/>
              </w:rPr>
              <w:t>　</w:t>
            </w:r>
          </w:p>
        </w:tc>
        <w:tc>
          <w:tcPr>
            <w:tcW w:w="846" w:type="dxa"/>
            <w:noWrap w:val="0"/>
            <w:vAlign w:val="center"/>
          </w:tcPr>
          <w:p w14:paraId="5013FC9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413A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16" w:type="dxa"/>
            <w:vMerge w:val="continue"/>
            <w:shd w:val="clear" w:color="auto" w:fill="auto"/>
            <w:noWrap w:val="0"/>
            <w:vAlign w:val="center"/>
          </w:tcPr>
          <w:p w14:paraId="654FDE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restart"/>
            <w:shd w:val="clear" w:color="000000" w:fill="FFFFFF"/>
            <w:noWrap w:val="0"/>
            <w:vAlign w:val="center"/>
          </w:tcPr>
          <w:p w14:paraId="462DBE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资金</w:t>
            </w:r>
            <w:r>
              <w:rPr>
                <w:rFonts w:ascii="宋体" w:hAnsi="宋体"/>
                <w:kern w:val="0"/>
                <w:sz w:val="20"/>
                <w:szCs w:val="20"/>
              </w:rPr>
              <w:br w:type="textWrapping"/>
            </w:r>
            <w:r>
              <w:rPr>
                <w:rFonts w:ascii="宋体" w:hAnsi="宋体"/>
                <w:kern w:val="0"/>
                <w:sz w:val="20"/>
                <w:szCs w:val="20"/>
              </w:rPr>
              <w:t>落实（10分）</w:t>
            </w:r>
          </w:p>
        </w:tc>
        <w:tc>
          <w:tcPr>
            <w:tcW w:w="798" w:type="dxa"/>
            <w:shd w:val="clear" w:color="000000" w:fill="FFFFFF"/>
            <w:noWrap w:val="0"/>
            <w:vAlign w:val="center"/>
          </w:tcPr>
          <w:p w14:paraId="61E5D25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资金到位率（5分）</w:t>
            </w:r>
          </w:p>
        </w:tc>
        <w:tc>
          <w:tcPr>
            <w:tcW w:w="1648" w:type="dxa"/>
            <w:shd w:val="clear" w:color="000000" w:fill="FFFFFF"/>
            <w:noWrap w:val="0"/>
            <w:vAlign w:val="center"/>
          </w:tcPr>
          <w:p w14:paraId="21F63E7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实际到位资金与计划投入资金的比率，用以反映和考核资金落实情况对项目实施的总体保障程度。</w:t>
            </w:r>
          </w:p>
        </w:tc>
        <w:tc>
          <w:tcPr>
            <w:tcW w:w="3489" w:type="dxa"/>
            <w:shd w:val="clear" w:color="000000" w:fill="FFFFFF"/>
            <w:noWrap w:val="0"/>
            <w:vAlign w:val="center"/>
          </w:tcPr>
          <w:p w14:paraId="540BBA3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资金到位率=（实际到位资金/计划投入资金）×100%。（达到目标值得5分，每少一个百分点扣1分，扣完为止）</w:t>
            </w:r>
            <w:r>
              <w:rPr>
                <w:rFonts w:ascii="宋体" w:hAnsi="宋体"/>
                <w:kern w:val="0"/>
                <w:sz w:val="20"/>
                <w:szCs w:val="20"/>
              </w:rPr>
              <w:br w:type="textWrapping"/>
            </w:r>
            <w:r>
              <w:rPr>
                <w:rFonts w:ascii="宋体" w:hAnsi="宋体"/>
                <w:kern w:val="0"/>
                <w:sz w:val="20"/>
                <w:szCs w:val="20"/>
              </w:rPr>
              <w:t>实际到位资金：一定时期（本年度或项目期）内实际落实到具体项目的资金。</w:t>
            </w:r>
            <w:r>
              <w:rPr>
                <w:rFonts w:ascii="宋体" w:hAnsi="宋体"/>
                <w:kern w:val="0"/>
                <w:sz w:val="20"/>
                <w:szCs w:val="20"/>
              </w:rPr>
              <w:br w:type="textWrapping"/>
            </w:r>
            <w:r>
              <w:rPr>
                <w:rFonts w:ascii="宋体" w:hAnsi="宋体"/>
                <w:kern w:val="0"/>
                <w:sz w:val="20"/>
                <w:szCs w:val="20"/>
              </w:rPr>
              <w:t>计划投入资金：一定时期（本年度或项目期）内计划投入到具体项目的资金。</w:t>
            </w:r>
          </w:p>
        </w:tc>
        <w:tc>
          <w:tcPr>
            <w:tcW w:w="877" w:type="dxa"/>
            <w:noWrap w:val="0"/>
            <w:vAlign w:val="center"/>
          </w:tcPr>
          <w:p w14:paraId="269493D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5</w:t>
            </w:r>
          </w:p>
        </w:tc>
        <w:tc>
          <w:tcPr>
            <w:tcW w:w="846" w:type="dxa"/>
            <w:noWrap w:val="0"/>
            <w:vAlign w:val="center"/>
          </w:tcPr>
          <w:p w14:paraId="4AFA3C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18A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16" w:type="dxa"/>
            <w:vMerge w:val="continue"/>
            <w:shd w:val="clear" w:color="auto" w:fill="auto"/>
            <w:noWrap w:val="0"/>
            <w:vAlign w:val="center"/>
          </w:tcPr>
          <w:p w14:paraId="2143938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27FC3A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4CD7D1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到位及时率（5分）</w:t>
            </w:r>
          </w:p>
        </w:tc>
        <w:tc>
          <w:tcPr>
            <w:tcW w:w="1648" w:type="dxa"/>
            <w:shd w:val="clear" w:color="000000" w:fill="FFFFFF"/>
            <w:noWrap w:val="0"/>
            <w:vAlign w:val="center"/>
          </w:tcPr>
          <w:p w14:paraId="1299C00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及时到位资金与应到位资金的比率，用以反映和考核项目资金落实的及时性程度。</w:t>
            </w:r>
          </w:p>
        </w:tc>
        <w:tc>
          <w:tcPr>
            <w:tcW w:w="3489" w:type="dxa"/>
            <w:shd w:val="clear" w:color="000000" w:fill="FFFFFF"/>
            <w:noWrap w:val="0"/>
            <w:vAlign w:val="center"/>
          </w:tcPr>
          <w:p w14:paraId="53404B4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到位及时率=（及时到位资金/应到位资金）×100%。（达到目标值得5分，每少一个百分点扣1分，扣完为止）</w:t>
            </w:r>
            <w:r>
              <w:rPr>
                <w:rFonts w:ascii="宋体" w:hAnsi="宋体"/>
                <w:kern w:val="0"/>
                <w:sz w:val="20"/>
                <w:szCs w:val="20"/>
              </w:rPr>
              <w:br w:type="textWrapping"/>
            </w:r>
            <w:r>
              <w:rPr>
                <w:rFonts w:ascii="宋体" w:hAnsi="宋体"/>
                <w:kern w:val="0"/>
                <w:sz w:val="20"/>
                <w:szCs w:val="20"/>
              </w:rPr>
              <w:t>及时到位资金：截至规定时点实际落实到具体项目的资金。</w:t>
            </w:r>
            <w:r>
              <w:rPr>
                <w:rFonts w:ascii="宋体" w:hAnsi="宋体"/>
                <w:kern w:val="0"/>
                <w:sz w:val="20"/>
                <w:szCs w:val="20"/>
              </w:rPr>
              <w:br w:type="textWrapping"/>
            </w:r>
            <w:r>
              <w:rPr>
                <w:rFonts w:ascii="宋体" w:hAnsi="宋体"/>
                <w:kern w:val="0"/>
                <w:sz w:val="20"/>
                <w:szCs w:val="20"/>
              </w:rPr>
              <w:t>应到位资金：按照合同或项目进度要求截至规定时点应落实到具体项目的资金。</w:t>
            </w:r>
          </w:p>
        </w:tc>
        <w:tc>
          <w:tcPr>
            <w:tcW w:w="877" w:type="dxa"/>
            <w:noWrap w:val="0"/>
            <w:vAlign w:val="center"/>
          </w:tcPr>
          <w:p w14:paraId="1D4053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5</w:t>
            </w:r>
          </w:p>
        </w:tc>
        <w:tc>
          <w:tcPr>
            <w:tcW w:w="846" w:type="dxa"/>
            <w:noWrap w:val="0"/>
            <w:vAlign w:val="center"/>
          </w:tcPr>
          <w:p w14:paraId="194828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22F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16" w:type="dxa"/>
            <w:vMerge w:val="restart"/>
            <w:shd w:val="clear" w:color="000000" w:fill="FFFFFF"/>
            <w:noWrap w:val="0"/>
            <w:textDirection w:val="tbRlV"/>
            <w:vAlign w:val="center"/>
          </w:tcPr>
          <w:p w14:paraId="53F81D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过   程（25分）</w:t>
            </w:r>
          </w:p>
        </w:tc>
        <w:tc>
          <w:tcPr>
            <w:tcW w:w="648" w:type="dxa"/>
            <w:vMerge w:val="restart"/>
            <w:shd w:val="clear" w:color="000000" w:fill="FFFFFF"/>
            <w:noWrap w:val="0"/>
            <w:vAlign w:val="center"/>
          </w:tcPr>
          <w:p w14:paraId="4E1B34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业务</w:t>
            </w:r>
            <w:r>
              <w:rPr>
                <w:rFonts w:ascii="宋体" w:hAnsi="宋体"/>
                <w:kern w:val="0"/>
                <w:sz w:val="20"/>
                <w:szCs w:val="20"/>
              </w:rPr>
              <w:br w:type="textWrapping"/>
            </w:r>
            <w:r>
              <w:rPr>
                <w:rFonts w:ascii="宋体" w:hAnsi="宋体"/>
                <w:kern w:val="0"/>
                <w:sz w:val="20"/>
                <w:szCs w:val="20"/>
              </w:rPr>
              <w:t>管理（13分）</w:t>
            </w:r>
          </w:p>
        </w:tc>
        <w:tc>
          <w:tcPr>
            <w:tcW w:w="798" w:type="dxa"/>
            <w:shd w:val="clear" w:color="000000" w:fill="FFFFFF"/>
            <w:noWrap w:val="0"/>
            <w:vAlign w:val="center"/>
          </w:tcPr>
          <w:p w14:paraId="351F6FA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管理制度健全性（4分）</w:t>
            </w:r>
          </w:p>
        </w:tc>
        <w:tc>
          <w:tcPr>
            <w:tcW w:w="1648" w:type="dxa"/>
            <w:shd w:val="clear" w:color="000000" w:fill="FFFFFF"/>
            <w:noWrap w:val="0"/>
            <w:vAlign w:val="center"/>
          </w:tcPr>
          <w:p w14:paraId="394C38F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项目实施单位的业务管理制度是否健全，用以反映和考核业务管理制度对项目顺利实施的保障情况。</w:t>
            </w:r>
          </w:p>
        </w:tc>
        <w:tc>
          <w:tcPr>
            <w:tcW w:w="3489" w:type="dxa"/>
            <w:shd w:val="clear" w:color="000000" w:fill="FFFFFF"/>
            <w:noWrap w:val="0"/>
            <w:vAlign w:val="center"/>
          </w:tcPr>
          <w:p w14:paraId="61C7223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是否已制定或具有相应的业务管理制度；（2分）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业务管理制度是否合法、合规、完整。（2分）</w:t>
            </w:r>
          </w:p>
        </w:tc>
        <w:tc>
          <w:tcPr>
            <w:tcW w:w="877" w:type="dxa"/>
            <w:noWrap w:val="0"/>
            <w:vAlign w:val="center"/>
          </w:tcPr>
          <w:p w14:paraId="715E4E9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4</w:t>
            </w:r>
          </w:p>
        </w:tc>
        <w:tc>
          <w:tcPr>
            <w:tcW w:w="846" w:type="dxa"/>
            <w:noWrap w:val="0"/>
            <w:vAlign w:val="center"/>
          </w:tcPr>
          <w:p w14:paraId="58A0FA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5058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16" w:type="dxa"/>
            <w:vMerge w:val="continue"/>
            <w:shd w:val="clear" w:color="auto" w:fill="auto"/>
            <w:noWrap w:val="0"/>
            <w:vAlign w:val="center"/>
          </w:tcPr>
          <w:p w14:paraId="5F320D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777F853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7C76A6C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制度执行有效性（6分)</w:t>
            </w:r>
          </w:p>
        </w:tc>
        <w:tc>
          <w:tcPr>
            <w:tcW w:w="1648" w:type="dxa"/>
            <w:shd w:val="clear" w:color="000000" w:fill="FFFFFF"/>
            <w:noWrap w:val="0"/>
            <w:vAlign w:val="center"/>
          </w:tcPr>
          <w:p w14:paraId="2CD5C24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项目实施是否符合相关业务管理规定，用以反映和考核业务管理制度的有效执行情况。</w:t>
            </w:r>
          </w:p>
        </w:tc>
        <w:tc>
          <w:tcPr>
            <w:tcW w:w="3489" w:type="dxa"/>
            <w:shd w:val="clear" w:color="000000" w:fill="FFFFFF"/>
            <w:noWrap w:val="0"/>
            <w:vAlign w:val="center"/>
          </w:tcPr>
          <w:p w14:paraId="3551729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是否遵守相关法律法规和业务管理规定；(1分）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项目调整及支出调整手续是否完备；（1分）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项目合同书、验收报告、技术鉴定等资料是否齐全并及时归档；（2分）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项目实施的人员条件、场地设备、信息支撑等是否落实到位。（2分）</w:t>
            </w:r>
          </w:p>
        </w:tc>
        <w:tc>
          <w:tcPr>
            <w:tcW w:w="877" w:type="dxa"/>
            <w:noWrap w:val="0"/>
            <w:vAlign w:val="center"/>
          </w:tcPr>
          <w:p w14:paraId="3B32A40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6</w:t>
            </w:r>
            <w:r>
              <w:rPr>
                <w:rFonts w:ascii="宋体" w:hAnsi="宋体"/>
                <w:kern w:val="0"/>
                <w:sz w:val="24"/>
              </w:rPr>
              <w:t>　</w:t>
            </w:r>
          </w:p>
        </w:tc>
        <w:tc>
          <w:tcPr>
            <w:tcW w:w="846" w:type="dxa"/>
            <w:noWrap w:val="0"/>
            <w:vAlign w:val="center"/>
          </w:tcPr>
          <w:p w14:paraId="3A5004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50F5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16" w:type="dxa"/>
            <w:vMerge w:val="continue"/>
            <w:shd w:val="clear" w:color="auto" w:fill="auto"/>
            <w:noWrap w:val="0"/>
            <w:vAlign w:val="center"/>
          </w:tcPr>
          <w:p w14:paraId="55D72C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4C144B7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25A455F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项目质量可控性（3分）</w:t>
            </w:r>
          </w:p>
        </w:tc>
        <w:tc>
          <w:tcPr>
            <w:tcW w:w="1648" w:type="dxa"/>
            <w:shd w:val="clear" w:color="000000" w:fill="FFFFFF"/>
            <w:noWrap w:val="0"/>
            <w:vAlign w:val="center"/>
          </w:tcPr>
          <w:p w14:paraId="577DDE1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项目实施单位是否为达到项目质量要求而采取了必需的措施,用以反映和考核项目实施单位对项目质量的控制情况。</w:t>
            </w:r>
          </w:p>
        </w:tc>
        <w:tc>
          <w:tcPr>
            <w:tcW w:w="3489" w:type="dxa"/>
            <w:shd w:val="clear" w:color="000000" w:fill="FFFFFF"/>
            <w:noWrap w:val="0"/>
            <w:vAlign w:val="center"/>
          </w:tcPr>
          <w:p w14:paraId="3E3E528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是否已制定或具有相应的项目质量要求或标准；（1分）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是否采取了相应的项目质量检查、验收等必需的控制措施或手段。（2分）</w:t>
            </w:r>
          </w:p>
        </w:tc>
        <w:tc>
          <w:tcPr>
            <w:tcW w:w="877" w:type="dxa"/>
            <w:noWrap w:val="0"/>
            <w:vAlign w:val="center"/>
          </w:tcPr>
          <w:p w14:paraId="7FF2EB6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3</w:t>
            </w:r>
          </w:p>
        </w:tc>
        <w:tc>
          <w:tcPr>
            <w:tcW w:w="846" w:type="dxa"/>
            <w:noWrap w:val="0"/>
            <w:vAlign w:val="center"/>
          </w:tcPr>
          <w:p w14:paraId="59E388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9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16" w:type="dxa"/>
            <w:vMerge w:val="continue"/>
            <w:shd w:val="clear" w:color="auto" w:fill="auto"/>
            <w:noWrap w:val="0"/>
            <w:vAlign w:val="center"/>
          </w:tcPr>
          <w:p w14:paraId="608699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restart"/>
            <w:shd w:val="clear" w:color="000000" w:fill="FFFFFF"/>
            <w:noWrap w:val="0"/>
            <w:vAlign w:val="center"/>
          </w:tcPr>
          <w:p w14:paraId="71B8E4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财务</w:t>
            </w:r>
            <w:r>
              <w:rPr>
                <w:rFonts w:ascii="宋体" w:hAnsi="宋体"/>
                <w:kern w:val="0"/>
                <w:sz w:val="20"/>
                <w:szCs w:val="20"/>
              </w:rPr>
              <w:br w:type="textWrapping"/>
            </w:r>
            <w:r>
              <w:rPr>
                <w:rFonts w:ascii="宋体" w:hAnsi="宋体"/>
                <w:kern w:val="0"/>
                <w:sz w:val="20"/>
                <w:szCs w:val="20"/>
              </w:rPr>
              <w:t>管理（12分）</w:t>
            </w:r>
          </w:p>
        </w:tc>
        <w:tc>
          <w:tcPr>
            <w:tcW w:w="798" w:type="dxa"/>
            <w:shd w:val="clear" w:color="000000" w:fill="FFFFFF"/>
            <w:noWrap w:val="0"/>
            <w:vAlign w:val="center"/>
          </w:tcPr>
          <w:p w14:paraId="15C5A4D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管理制度健全性（3分）</w:t>
            </w:r>
          </w:p>
        </w:tc>
        <w:tc>
          <w:tcPr>
            <w:tcW w:w="1648" w:type="dxa"/>
            <w:shd w:val="clear" w:color="000000" w:fill="FFFFFF"/>
            <w:noWrap w:val="0"/>
            <w:vAlign w:val="center"/>
          </w:tcPr>
          <w:p w14:paraId="3CB3D63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项目实施单位的财务制度是否健全，用以反映和考核财务管理制度对资金规范、安全运行的保障情况。</w:t>
            </w:r>
          </w:p>
        </w:tc>
        <w:tc>
          <w:tcPr>
            <w:tcW w:w="3489" w:type="dxa"/>
            <w:shd w:val="clear" w:color="000000" w:fill="FFFFFF"/>
            <w:noWrap w:val="0"/>
            <w:vAlign w:val="center"/>
          </w:tcPr>
          <w:p w14:paraId="748F53A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是否已制定或具有相应的项目资金管理办法；（2分）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项目资金管理办法是否符合相关财务会计制度的规定。（1分）</w:t>
            </w:r>
          </w:p>
        </w:tc>
        <w:tc>
          <w:tcPr>
            <w:tcW w:w="877" w:type="dxa"/>
            <w:noWrap w:val="0"/>
            <w:vAlign w:val="center"/>
          </w:tcPr>
          <w:p w14:paraId="18A9488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3</w:t>
            </w:r>
          </w:p>
        </w:tc>
        <w:tc>
          <w:tcPr>
            <w:tcW w:w="846" w:type="dxa"/>
            <w:noWrap w:val="0"/>
            <w:vAlign w:val="center"/>
          </w:tcPr>
          <w:p w14:paraId="51C8859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F8E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6" w:type="dxa"/>
            <w:vMerge w:val="continue"/>
            <w:shd w:val="clear" w:color="auto" w:fill="auto"/>
            <w:noWrap w:val="0"/>
            <w:vAlign w:val="center"/>
          </w:tcPr>
          <w:p w14:paraId="2808D36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586F3D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370E8FC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资金使用合规性（7分）</w:t>
            </w:r>
          </w:p>
        </w:tc>
        <w:tc>
          <w:tcPr>
            <w:tcW w:w="1648" w:type="dxa"/>
            <w:shd w:val="clear" w:color="000000" w:fill="FFFFFF"/>
            <w:noWrap w:val="0"/>
            <w:vAlign w:val="center"/>
          </w:tcPr>
          <w:p w14:paraId="746E590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项目资金使用是否符合相关的财务管理制度规定，用以反映和考核项目资金的规范运行情况。</w:t>
            </w:r>
          </w:p>
        </w:tc>
        <w:tc>
          <w:tcPr>
            <w:tcW w:w="3489" w:type="dxa"/>
            <w:shd w:val="clear" w:color="000000" w:fill="FFFFFF"/>
            <w:noWrap w:val="0"/>
            <w:vAlign w:val="center"/>
          </w:tcPr>
          <w:p w14:paraId="200EF9B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是否符合国家财经法规和财务管理制度以及有关专项资金管理办法的规定；（1分）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资金的拨付是否有完整的审批程序和手续；（2分）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项目的重大开支是否经过评估认证；（1分）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是否符合项目预算批复或合同规定的用途；（1分）</w:t>
            </w:r>
            <w:r>
              <w:rPr>
                <w:rFonts w:ascii="宋体" w:hAnsi="宋体"/>
                <w:kern w:val="0"/>
                <w:sz w:val="20"/>
                <w:szCs w:val="20"/>
              </w:rPr>
              <w:br w:type="textWrapping"/>
            </w:r>
            <w:r>
              <w:rPr>
                <w:rFonts w:hint="eastAsia" w:ascii="宋体" w:hAnsi="宋体" w:cs="宋体"/>
                <w:kern w:val="0"/>
                <w:sz w:val="20"/>
                <w:szCs w:val="20"/>
              </w:rPr>
              <w:t>⑤</w:t>
            </w:r>
            <w:r>
              <w:rPr>
                <w:rFonts w:ascii="宋体" w:hAnsi="宋体"/>
                <w:kern w:val="0"/>
                <w:sz w:val="20"/>
                <w:szCs w:val="20"/>
              </w:rPr>
              <w:t>是否存在截留、挤占、挪用、虚列支出等情况。（2分）</w:t>
            </w:r>
          </w:p>
        </w:tc>
        <w:tc>
          <w:tcPr>
            <w:tcW w:w="877" w:type="dxa"/>
            <w:noWrap w:val="0"/>
            <w:vAlign w:val="center"/>
          </w:tcPr>
          <w:p w14:paraId="188A015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rPr>
              <w:t>7</w:t>
            </w:r>
            <w:r>
              <w:rPr>
                <w:rFonts w:ascii="宋体" w:hAnsi="宋体"/>
                <w:kern w:val="0"/>
                <w:sz w:val="24"/>
              </w:rPr>
              <w:t>　</w:t>
            </w:r>
          </w:p>
        </w:tc>
        <w:tc>
          <w:tcPr>
            <w:tcW w:w="846" w:type="dxa"/>
            <w:noWrap w:val="0"/>
            <w:vAlign w:val="center"/>
          </w:tcPr>
          <w:p w14:paraId="49F128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ADF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16" w:type="dxa"/>
            <w:vMerge w:val="continue"/>
            <w:shd w:val="clear" w:color="auto" w:fill="auto"/>
            <w:noWrap w:val="0"/>
            <w:vAlign w:val="center"/>
          </w:tcPr>
          <w:p w14:paraId="07F2882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45173A5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6AA47AA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财务监控有效性（2分）</w:t>
            </w:r>
          </w:p>
        </w:tc>
        <w:tc>
          <w:tcPr>
            <w:tcW w:w="1648" w:type="dxa"/>
            <w:shd w:val="clear" w:color="000000" w:fill="FFFFFF"/>
            <w:noWrap w:val="0"/>
            <w:vAlign w:val="center"/>
          </w:tcPr>
          <w:p w14:paraId="5B0AF13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项目实施单位是否为保障资金的安全、规范运行而采取了必要的监控措施，用以反映和考核项目实施单位对资金运行的控制情况。</w:t>
            </w:r>
          </w:p>
        </w:tc>
        <w:tc>
          <w:tcPr>
            <w:tcW w:w="3489" w:type="dxa"/>
            <w:shd w:val="clear" w:color="000000" w:fill="FFFFFF"/>
            <w:noWrap w:val="0"/>
            <w:vAlign w:val="center"/>
          </w:tcPr>
          <w:p w14:paraId="12514D8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是否已制定或具有相应的监控机制；（1分）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是否采取了相应的财务检查等必要的监控措施或手段。（1分）</w:t>
            </w:r>
          </w:p>
        </w:tc>
        <w:tc>
          <w:tcPr>
            <w:tcW w:w="877" w:type="dxa"/>
            <w:noWrap w:val="0"/>
            <w:vAlign w:val="center"/>
          </w:tcPr>
          <w:p w14:paraId="3011032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2</w:t>
            </w:r>
          </w:p>
        </w:tc>
        <w:tc>
          <w:tcPr>
            <w:tcW w:w="846" w:type="dxa"/>
            <w:noWrap w:val="0"/>
            <w:vAlign w:val="center"/>
          </w:tcPr>
          <w:p w14:paraId="4516E63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A94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6" w:type="dxa"/>
            <w:vMerge w:val="restart"/>
            <w:shd w:val="clear" w:color="000000" w:fill="FFFFFF"/>
            <w:noWrap w:val="0"/>
            <w:textDirection w:val="tbRlV"/>
            <w:vAlign w:val="center"/>
          </w:tcPr>
          <w:p w14:paraId="5CDF62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产   出（20分）</w:t>
            </w:r>
          </w:p>
        </w:tc>
        <w:tc>
          <w:tcPr>
            <w:tcW w:w="648" w:type="dxa"/>
            <w:vMerge w:val="restart"/>
            <w:shd w:val="clear" w:color="000000" w:fill="FFFFFF"/>
            <w:noWrap w:val="0"/>
            <w:vAlign w:val="center"/>
          </w:tcPr>
          <w:p w14:paraId="2E0F7C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产出（20分）</w:t>
            </w:r>
          </w:p>
        </w:tc>
        <w:tc>
          <w:tcPr>
            <w:tcW w:w="798" w:type="dxa"/>
            <w:shd w:val="clear" w:color="000000" w:fill="FFFFFF"/>
            <w:noWrap w:val="0"/>
            <w:vAlign w:val="center"/>
          </w:tcPr>
          <w:p w14:paraId="6CA304A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实际完成率（4分）</w:t>
            </w:r>
          </w:p>
        </w:tc>
        <w:tc>
          <w:tcPr>
            <w:tcW w:w="1648" w:type="dxa"/>
            <w:shd w:val="clear" w:color="000000" w:fill="FFFFFF"/>
            <w:noWrap w:val="0"/>
            <w:vAlign w:val="center"/>
          </w:tcPr>
          <w:p w14:paraId="16B7F08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项目实施的实际产出数与计划产出数的比率，用以反映和考核项目产出数量目标的实现程度。</w:t>
            </w:r>
          </w:p>
        </w:tc>
        <w:tc>
          <w:tcPr>
            <w:tcW w:w="3489" w:type="dxa"/>
            <w:shd w:val="clear" w:color="000000" w:fill="FFFFFF"/>
            <w:noWrap w:val="0"/>
            <w:vAlign w:val="center"/>
          </w:tcPr>
          <w:p w14:paraId="7C3ADEA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spacing w:val="-14"/>
                <w:kern w:val="0"/>
                <w:sz w:val="20"/>
                <w:szCs w:val="20"/>
              </w:rPr>
              <w:t>实际完成率=（实际产出数/计划产出数）×100%。（得分=实际完成率*4分）</w:t>
            </w:r>
            <w:r>
              <w:rPr>
                <w:rFonts w:ascii="宋体" w:hAnsi="宋体"/>
                <w:spacing w:val="-14"/>
                <w:kern w:val="0"/>
                <w:sz w:val="20"/>
                <w:szCs w:val="20"/>
              </w:rPr>
              <w:br w:type="textWrapping"/>
            </w:r>
            <w:r>
              <w:rPr>
                <w:rFonts w:ascii="宋体" w:hAnsi="宋体"/>
                <w:spacing w:val="-14"/>
                <w:kern w:val="0"/>
                <w:sz w:val="20"/>
                <w:szCs w:val="20"/>
              </w:rPr>
              <w:t>实际产出数：一定时期（本年度或项目期）内项目实际产出的产品或提供的服务数量。</w:t>
            </w:r>
            <w:r>
              <w:rPr>
                <w:rFonts w:ascii="宋体" w:hAnsi="宋体"/>
                <w:kern w:val="0"/>
                <w:sz w:val="20"/>
                <w:szCs w:val="20"/>
              </w:rPr>
              <w:br w:type="textWrapping"/>
            </w:r>
            <w:r>
              <w:rPr>
                <w:rFonts w:ascii="宋体" w:hAnsi="宋体"/>
                <w:kern w:val="0"/>
                <w:sz w:val="20"/>
                <w:szCs w:val="20"/>
              </w:rPr>
              <w:t>计划产出数：项目绩效目标确定的在一定时期（本年度或项目期）内计划产出的产品或提供的服务数量。</w:t>
            </w:r>
          </w:p>
        </w:tc>
        <w:tc>
          <w:tcPr>
            <w:tcW w:w="877" w:type="dxa"/>
            <w:noWrap w:val="0"/>
            <w:vAlign w:val="center"/>
          </w:tcPr>
          <w:p w14:paraId="3F71DE9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4</w:t>
            </w:r>
          </w:p>
        </w:tc>
        <w:tc>
          <w:tcPr>
            <w:tcW w:w="846" w:type="dxa"/>
            <w:noWrap w:val="0"/>
            <w:vAlign w:val="center"/>
          </w:tcPr>
          <w:p w14:paraId="49DE679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B22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6" w:type="dxa"/>
            <w:vMerge w:val="continue"/>
            <w:shd w:val="clear" w:color="auto" w:fill="auto"/>
            <w:noWrap w:val="0"/>
            <w:vAlign w:val="center"/>
          </w:tcPr>
          <w:p w14:paraId="730B285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6028F5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4712B6C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完成及时率（6分）</w:t>
            </w:r>
          </w:p>
        </w:tc>
        <w:tc>
          <w:tcPr>
            <w:tcW w:w="1648" w:type="dxa"/>
            <w:shd w:val="clear" w:color="000000" w:fill="FFFFFF"/>
            <w:noWrap w:val="0"/>
            <w:vAlign w:val="center"/>
          </w:tcPr>
          <w:p w14:paraId="40A556A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项目实际提前完成时间与计划完成时间的比率，用以反映和考核项目产出时效目标的实现程度。</w:t>
            </w:r>
          </w:p>
        </w:tc>
        <w:tc>
          <w:tcPr>
            <w:tcW w:w="3489" w:type="dxa"/>
            <w:shd w:val="clear" w:color="000000" w:fill="FFFFFF"/>
            <w:noWrap w:val="0"/>
            <w:vAlign w:val="center"/>
          </w:tcPr>
          <w:p w14:paraId="4792EBF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完成及时率=[（计划完成时间-实际完成时间）/计划完成时间]×100%。（1--4季度各得1.5分）</w:t>
            </w:r>
            <w:r>
              <w:rPr>
                <w:rFonts w:ascii="宋体" w:hAnsi="宋体"/>
                <w:kern w:val="0"/>
                <w:sz w:val="20"/>
                <w:szCs w:val="20"/>
              </w:rPr>
              <w:br w:type="textWrapping"/>
            </w:r>
            <w:r>
              <w:rPr>
                <w:rFonts w:ascii="宋体" w:hAnsi="宋体"/>
                <w:kern w:val="0"/>
                <w:sz w:val="20"/>
                <w:szCs w:val="20"/>
              </w:rPr>
              <w:t>实际完成时间：项目实施单位完成该项目实际所耗用的时间。</w:t>
            </w:r>
            <w:r>
              <w:rPr>
                <w:rFonts w:ascii="宋体" w:hAnsi="宋体"/>
                <w:kern w:val="0"/>
                <w:sz w:val="20"/>
                <w:szCs w:val="20"/>
              </w:rPr>
              <w:br w:type="textWrapping"/>
            </w:r>
            <w:r>
              <w:rPr>
                <w:rFonts w:ascii="宋体" w:hAnsi="宋体"/>
                <w:kern w:val="0"/>
                <w:sz w:val="20"/>
                <w:szCs w:val="20"/>
              </w:rPr>
              <w:t>计划完成时间：按照项目实施计划或相关规定完成该项目所需的时间。</w:t>
            </w:r>
          </w:p>
        </w:tc>
        <w:tc>
          <w:tcPr>
            <w:tcW w:w="877" w:type="dxa"/>
            <w:noWrap w:val="0"/>
            <w:vAlign w:val="center"/>
          </w:tcPr>
          <w:p w14:paraId="096816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6</w:t>
            </w:r>
          </w:p>
        </w:tc>
        <w:tc>
          <w:tcPr>
            <w:tcW w:w="846" w:type="dxa"/>
            <w:noWrap w:val="0"/>
            <w:vAlign w:val="center"/>
          </w:tcPr>
          <w:p w14:paraId="463831D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0E2A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16" w:type="dxa"/>
            <w:vMerge w:val="continue"/>
            <w:shd w:val="clear" w:color="auto" w:fill="auto"/>
            <w:noWrap w:val="0"/>
            <w:vAlign w:val="center"/>
          </w:tcPr>
          <w:p w14:paraId="390C800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1AD2EE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62B1938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质量达标率（5分）</w:t>
            </w:r>
          </w:p>
        </w:tc>
        <w:tc>
          <w:tcPr>
            <w:tcW w:w="1648" w:type="dxa"/>
            <w:shd w:val="clear" w:color="000000" w:fill="FFFFFF"/>
            <w:noWrap w:val="0"/>
            <w:vAlign w:val="center"/>
          </w:tcPr>
          <w:p w14:paraId="3E8831D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项目完成的质量达标产出数与实际产出数的比率，用以反映和考核项目产出质量目标的实现程度。</w:t>
            </w:r>
          </w:p>
        </w:tc>
        <w:tc>
          <w:tcPr>
            <w:tcW w:w="3489" w:type="dxa"/>
            <w:shd w:val="clear" w:color="000000" w:fill="FFFFFF"/>
            <w:noWrap w:val="0"/>
            <w:vAlign w:val="center"/>
          </w:tcPr>
          <w:p w14:paraId="6127D2E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质量达标率=（质量达标产出数/实际产出数）×100%。（得分=达标率*5分）</w:t>
            </w:r>
            <w:r>
              <w:rPr>
                <w:rFonts w:ascii="宋体" w:hAnsi="宋体"/>
                <w:kern w:val="0"/>
                <w:sz w:val="20"/>
                <w:szCs w:val="20"/>
              </w:rPr>
              <w:br w:type="textWrapping"/>
            </w:r>
            <w:r>
              <w:rPr>
                <w:rFonts w:ascii="宋体" w:hAnsi="宋体"/>
                <w:kern w:val="0"/>
                <w:sz w:val="20"/>
                <w:szCs w:val="20"/>
              </w:rPr>
              <w:t>质量达标产出数：一定时期（本年度或项目期）内实际达到既定质量标准的产品或服务数量。</w:t>
            </w:r>
            <w:r>
              <w:rPr>
                <w:rFonts w:ascii="宋体" w:hAnsi="宋体"/>
                <w:kern w:val="0"/>
                <w:sz w:val="20"/>
                <w:szCs w:val="20"/>
              </w:rPr>
              <w:br w:type="textWrapping"/>
            </w:r>
            <w:r>
              <w:rPr>
                <w:rFonts w:ascii="宋体" w:hAnsi="宋体"/>
                <w:spacing w:val="-10"/>
                <w:kern w:val="0"/>
                <w:sz w:val="20"/>
                <w:szCs w:val="20"/>
              </w:rPr>
              <w:t>既定质量标准是指项目实施单位设立绩效目标时依据计划标准、行业标准、历史标准或其他标准而设定的绩效指标值。</w:t>
            </w:r>
          </w:p>
        </w:tc>
        <w:tc>
          <w:tcPr>
            <w:tcW w:w="877" w:type="dxa"/>
            <w:noWrap w:val="0"/>
            <w:vAlign w:val="center"/>
          </w:tcPr>
          <w:p w14:paraId="6DF951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18D568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0055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6" w:type="dxa"/>
            <w:vMerge w:val="continue"/>
            <w:shd w:val="clear" w:color="auto" w:fill="auto"/>
            <w:noWrap w:val="0"/>
            <w:vAlign w:val="center"/>
          </w:tcPr>
          <w:p w14:paraId="3BF2307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43E8A2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132B3BD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成本节约率（5分）</w:t>
            </w:r>
          </w:p>
        </w:tc>
        <w:tc>
          <w:tcPr>
            <w:tcW w:w="1648" w:type="dxa"/>
            <w:shd w:val="clear" w:color="000000" w:fill="FFFFFF"/>
            <w:noWrap w:val="0"/>
            <w:vAlign w:val="center"/>
          </w:tcPr>
          <w:p w14:paraId="14EB62A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完成项目计划工作目标的实际节约成本与计划成本的比率，用以反映和考核项目的成本节约程度。</w:t>
            </w:r>
          </w:p>
        </w:tc>
        <w:tc>
          <w:tcPr>
            <w:tcW w:w="3489" w:type="dxa"/>
            <w:shd w:val="clear" w:color="000000" w:fill="FFFFFF"/>
            <w:noWrap w:val="0"/>
            <w:vAlign w:val="center"/>
          </w:tcPr>
          <w:p w14:paraId="048C9D1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成本节约率=[（计划成本-实际成本）/计划成本]×100%。(节约的计5分,增加的按比例扣分)</w:t>
            </w:r>
            <w:r>
              <w:rPr>
                <w:rFonts w:ascii="宋体" w:hAnsi="宋体"/>
                <w:kern w:val="0"/>
                <w:sz w:val="20"/>
                <w:szCs w:val="20"/>
              </w:rPr>
              <w:br w:type="textWrapping"/>
            </w:r>
            <w:r>
              <w:rPr>
                <w:rFonts w:ascii="宋体" w:hAnsi="宋体"/>
                <w:spacing w:val="-10"/>
                <w:kern w:val="0"/>
                <w:sz w:val="20"/>
                <w:szCs w:val="20"/>
              </w:rPr>
              <w:t>实际成本：项目实施单位如期、保质、保量完成既定工作目标实际所耗费的支出。</w:t>
            </w:r>
            <w:r>
              <w:rPr>
                <w:rFonts w:ascii="宋体" w:hAnsi="宋体"/>
                <w:spacing w:val="-10"/>
                <w:kern w:val="0"/>
                <w:sz w:val="20"/>
                <w:szCs w:val="20"/>
              </w:rPr>
              <w:br w:type="textWrapping"/>
            </w:r>
            <w:r>
              <w:rPr>
                <w:rFonts w:ascii="宋体" w:hAnsi="宋体"/>
                <w:spacing w:val="-10"/>
                <w:kern w:val="0"/>
                <w:sz w:val="20"/>
                <w:szCs w:val="20"/>
              </w:rPr>
              <w:t>计划成本：项目实施单位为完成工作目标计划安排的支出，一般以项目预算为参考。</w:t>
            </w:r>
          </w:p>
        </w:tc>
        <w:tc>
          <w:tcPr>
            <w:tcW w:w="877" w:type="dxa"/>
            <w:noWrap w:val="0"/>
            <w:vAlign w:val="center"/>
          </w:tcPr>
          <w:p w14:paraId="71C8E29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5E11B9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C01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6" w:type="dxa"/>
            <w:vMerge w:val="restart"/>
            <w:shd w:val="clear" w:color="000000" w:fill="FFFFFF"/>
            <w:noWrap w:val="0"/>
            <w:textDirection w:val="tbRlV"/>
            <w:vAlign w:val="center"/>
          </w:tcPr>
          <w:p w14:paraId="793716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效   果（30分）</w:t>
            </w:r>
          </w:p>
        </w:tc>
        <w:tc>
          <w:tcPr>
            <w:tcW w:w="648" w:type="dxa"/>
            <w:vMerge w:val="restart"/>
            <w:shd w:val="clear" w:color="000000" w:fill="FFFFFF"/>
            <w:noWrap w:val="0"/>
            <w:vAlign w:val="center"/>
          </w:tcPr>
          <w:p w14:paraId="701940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效益（30分）</w:t>
            </w:r>
          </w:p>
        </w:tc>
        <w:tc>
          <w:tcPr>
            <w:tcW w:w="798" w:type="dxa"/>
            <w:shd w:val="clear" w:color="000000" w:fill="FFFFFF"/>
            <w:noWrap w:val="0"/>
            <w:vAlign w:val="center"/>
          </w:tcPr>
          <w:p w14:paraId="27F80FC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经济效益(5分）</w:t>
            </w:r>
          </w:p>
        </w:tc>
        <w:tc>
          <w:tcPr>
            <w:tcW w:w="1648" w:type="dxa"/>
            <w:shd w:val="clear" w:color="000000" w:fill="FFFFFF"/>
            <w:noWrap w:val="0"/>
            <w:vAlign w:val="center"/>
          </w:tcPr>
          <w:p w14:paraId="2CCC6F0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项目实施对经济发展所带来的直接或间接影响情况。</w:t>
            </w:r>
          </w:p>
        </w:tc>
        <w:tc>
          <w:tcPr>
            <w:tcW w:w="3489" w:type="dxa"/>
            <w:vMerge w:val="restart"/>
            <w:shd w:val="clear" w:color="000000" w:fill="FFFFFF"/>
            <w:noWrap w:val="0"/>
            <w:vAlign w:val="center"/>
          </w:tcPr>
          <w:p w14:paraId="13A7A32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877" w:type="dxa"/>
            <w:noWrap w:val="0"/>
            <w:vAlign w:val="center"/>
          </w:tcPr>
          <w:p w14:paraId="1445A3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1F098FF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CD2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vMerge w:val="continue"/>
            <w:shd w:val="clear" w:color="auto" w:fill="auto"/>
            <w:noWrap w:val="0"/>
            <w:vAlign w:val="center"/>
          </w:tcPr>
          <w:p w14:paraId="67902E8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793DD04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6FB3ADD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社会效益（5分）</w:t>
            </w:r>
          </w:p>
        </w:tc>
        <w:tc>
          <w:tcPr>
            <w:tcW w:w="1648" w:type="dxa"/>
            <w:shd w:val="clear" w:color="000000" w:fill="FFFFFF"/>
            <w:noWrap w:val="0"/>
            <w:vAlign w:val="center"/>
          </w:tcPr>
          <w:p w14:paraId="11C47E1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项目实施对社会发展所带来的直接或间接影响情况。</w:t>
            </w:r>
          </w:p>
        </w:tc>
        <w:tc>
          <w:tcPr>
            <w:tcW w:w="3489" w:type="dxa"/>
            <w:vMerge w:val="continue"/>
            <w:noWrap w:val="0"/>
            <w:vAlign w:val="center"/>
          </w:tcPr>
          <w:p w14:paraId="22FDDAC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0E86F9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54112A9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983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vMerge w:val="continue"/>
            <w:shd w:val="clear" w:color="auto" w:fill="auto"/>
            <w:noWrap w:val="0"/>
            <w:vAlign w:val="center"/>
          </w:tcPr>
          <w:p w14:paraId="78A2F9A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4694556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062F6D2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生态效益（5分）</w:t>
            </w:r>
          </w:p>
        </w:tc>
        <w:tc>
          <w:tcPr>
            <w:tcW w:w="1648" w:type="dxa"/>
            <w:shd w:val="clear" w:color="000000" w:fill="FFFFFF"/>
            <w:noWrap w:val="0"/>
            <w:vAlign w:val="center"/>
          </w:tcPr>
          <w:p w14:paraId="5DFAC11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项目实施对生态环境所带来的直接或间接影响情况。</w:t>
            </w:r>
          </w:p>
        </w:tc>
        <w:tc>
          <w:tcPr>
            <w:tcW w:w="3489" w:type="dxa"/>
            <w:vMerge w:val="continue"/>
            <w:noWrap w:val="0"/>
            <w:vAlign w:val="center"/>
          </w:tcPr>
          <w:p w14:paraId="26118A0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4B3D5A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4B331A0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2D2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vMerge w:val="continue"/>
            <w:shd w:val="clear" w:color="auto" w:fill="auto"/>
            <w:noWrap w:val="0"/>
            <w:vAlign w:val="center"/>
          </w:tcPr>
          <w:p w14:paraId="0388BB2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0D4755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4CD7539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可持续影响</w:t>
            </w:r>
          </w:p>
        </w:tc>
        <w:tc>
          <w:tcPr>
            <w:tcW w:w="1648" w:type="dxa"/>
            <w:shd w:val="clear" w:color="000000" w:fill="FFFFFF"/>
            <w:noWrap w:val="0"/>
            <w:vAlign w:val="center"/>
          </w:tcPr>
          <w:p w14:paraId="42BFDE9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项目后续运行及成效发挥的可持续影响情况。</w:t>
            </w:r>
          </w:p>
        </w:tc>
        <w:tc>
          <w:tcPr>
            <w:tcW w:w="3489" w:type="dxa"/>
            <w:vMerge w:val="continue"/>
            <w:noWrap w:val="0"/>
            <w:vAlign w:val="center"/>
          </w:tcPr>
          <w:p w14:paraId="1C8A86D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1A3301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46" w:type="dxa"/>
            <w:noWrap w:val="0"/>
            <w:vAlign w:val="center"/>
          </w:tcPr>
          <w:p w14:paraId="4F13FD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B42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16" w:type="dxa"/>
            <w:vMerge w:val="continue"/>
            <w:shd w:val="clear" w:color="auto" w:fill="auto"/>
            <w:noWrap w:val="0"/>
            <w:vAlign w:val="center"/>
          </w:tcPr>
          <w:p w14:paraId="482098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50C33E3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0431804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spacing w:val="-10"/>
                <w:kern w:val="0"/>
                <w:sz w:val="20"/>
                <w:szCs w:val="20"/>
              </w:rPr>
            </w:pPr>
            <w:r>
              <w:rPr>
                <w:rFonts w:ascii="宋体" w:hAnsi="宋体"/>
                <w:spacing w:val="-10"/>
                <w:kern w:val="0"/>
                <w:sz w:val="20"/>
                <w:szCs w:val="20"/>
              </w:rPr>
              <w:t>社会公众或服务对象满意度（10分）</w:t>
            </w:r>
          </w:p>
        </w:tc>
        <w:tc>
          <w:tcPr>
            <w:tcW w:w="1648" w:type="dxa"/>
            <w:shd w:val="clear" w:color="000000" w:fill="FFFFFF"/>
            <w:noWrap w:val="0"/>
            <w:vAlign w:val="center"/>
          </w:tcPr>
          <w:p w14:paraId="72A5395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社会公众或服务对象对项目实施效果的满意程度。</w:t>
            </w:r>
          </w:p>
        </w:tc>
        <w:tc>
          <w:tcPr>
            <w:tcW w:w="3489" w:type="dxa"/>
            <w:shd w:val="clear" w:color="000000" w:fill="FFFFFF"/>
            <w:noWrap w:val="0"/>
            <w:vAlign w:val="center"/>
          </w:tcPr>
          <w:p w14:paraId="36BBB18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社会公众或服务对象是指因该项目实施而受到影响的部门（单位）、群体或个人。一般采取社会调查的方式。（按收到的服务对象的满意率计算得分）</w:t>
            </w:r>
          </w:p>
        </w:tc>
        <w:tc>
          <w:tcPr>
            <w:tcW w:w="877" w:type="dxa"/>
            <w:noWrap w:val="0"/>
            <w:vAlign w:val="center"/>
          </w:tcPr>
          <w:p w14:paraId="5EB51F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kern w:val="0"/>
                <w:sz w:val="24"/>
              </w:rPr>
            </w:pPr>
            <w:r>
              <w:rPr>
                <w:rFonts w:hint="eastAsia" w:ascii="宋体" w:hAnsi="宋体"/>
                <w:kern w:val="0"/>
                <w:sz w:val="24"/>
              </w:rPr>
              <w:t>10</w:t>
            </w:r>
          </w:p>
        </w:tc>
        <w:tc>
          <w:tcPr>
            <w:tcW w:w="846" w:type="dxa"/>
            <w:noWrap w:val="0"/>
            <w:vAlign w:val="center"/>
          </w:tcPr>
          <w:p w14:paraId="2F330BE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1207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399" w:type="dxa"/>
            <w:gridSpan w:val="5"/>
            <w:shd w:val="clear" w:color="000000" w:fill="FFFFFF"/>
            <w:noWrap w:val="0"/>
            <w:vAlign w:val="center"/>
          </w:tcPr>
          <w:p w14:paraId="21EF5DF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合计</w:t>
            </w:r>
          </w:p>
        </w:tc>
        <w:tc>
          <w:tcPr>
            <w:tcW w:w="877" w:type="dxa"/>
            <w:noWrap w:val="0"/>
            <w:vAlign w:val="center"/>
          </w:tcPr>
          <w:p w14:paraId="09AC564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r>
              <w:rPr>
                <w:rFonts w:hint="eastAsia" w:ascii="宋体" w:hAnsi="宋体"/>
                <w:kern w:val="0"/>
                <w:sz w:val="24"/>
              </w:rPr>
              <w:t>100</w:t>
            </w:r>
          </w:p>
        </w:tc>
        <w:tc>
          <w:tcPr>
            <w:tcW w:w="846" w:type="dxa"/>
            <w:noWrap w:val="0"/>
            <w:vAlign w:val="center"/>
          </w:tcPr>
          <w:p w14:paraId="47E235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bl>
    <w:p w14:paraId="656072CB">
      <w:pPr>
        <w:spacing w:line="590" w:lineRule="exact"/>
        <w:jc w:val="left"/>
        <w:rPr>
          <w:rFonts w:ascii="宋体" w:hAnsi="宋体" w:eastAsia="方正黑体简体"/>
          <w:sz w:val="32"/>
          <w:szCs w:val="32"/>
        </w:rPr>
      </w:pPr>
    </w:p>
    <w:p w14:paraId="32FD4CC6">
      <w:pPr>
        <w:spacing w:line="590" w:lineRule="exact"/>
        <w:jc w:val="left"/>
        <w:rPr>
          <w:rFonts w:ascii="宋体" w:hAnsi="宋体" w:eastAsia="方正黑体简体"/>
          <w:sz w:val="32"/>
          <w:szCs w:val="32"/>
        </w:rPr>
      </w:pPr>
    </w:p>
    <w:p w14:paraId="38BAA37D">
      <w:pPr>
        <w:pStyle w:val="2"/>
        <w:spacing w:after="0" w:line="590" w:lineRule="exact"/>
        <w:rPr>
          <w:rFonts w:ascii="宋体" w:hAnsi="宋体" w:eastAsia="方正黑体简体"/>
          <w:sz w:val="32"/>
          <w:szCs w:val="32"/>
        </w:rPr>
      </w:pPr>
    </w:p>
    <w:p w14:paraId="3EE94D12">
      <w:pPr>
        <w:spacing w:line="590" w:lineRule="exact"/>
        <w:rPr>
          <w:rFonts w:ascii="宋体" w:hAnsi="宋体" w:eastAsia="方正黑体简体"/>
          <w:sz w:val="32"/>
          <w:szCs w:val="32"/>
        </w:rPr>
      </w:pPr>
    </w:p>
    <w:p w14:paraId="0EAA4DEA">
      <w:pPr>
        <w:pStyle w:val="2"/>
        <w:spacing w:after="0" w:line="590" w:lineRule="exact"/>
        <w:rPr>
          <w:rFonts w:ascii="宋体" w:hAnsi="宋体" w:eastAsia="方正黑体简体"/>
          <w:sz w:val="32"/>
          <w:szCs w:val="32"/>
        </w:rPr>
      </w:pPr>
    </w:p>
    <w:p w14:paraId="626EC4A0">
      <w:pPr>
        <w:spacing w:line="590" w:lineRule="exact"/>
        <w:rPr>
          <w:rFonts w:ascii="宋体" w:hAnsi="宋体" w:eastAsia="方正黑体简体"/>
          <w:sz w:val="32"/>
          <w:szCs w:val="32"/>
        </w:rPr>
      </w:pPr>
    </w:p>
    <w:p w14:paraId="392CB5A4">
      <w:pPr>
        <w:pStyle w:val="2"/>
        <w:rPr>
          <w:rFonts w:ascii="宋体" w:hAnsi="宋体" w:eastAsia="方正黑体简体"/>
          <w:sz w:val="32"/>
          <w:szCs w:val="32"/>
        </w:rPr>
      </w:pPr>
    </w:p>
    <w:p w14:paraId="4E75D8B5">
      <w:pPr>
        <w:pStyle w:val="3"/>
        <w:rPr>
          <w:rFonts w:ascii="宋体" w:hAnsi="宋体" w:eastAsia="方正黑体简体"/>
          <w:sz w:val="32"/>
          <w:szCs w:val="32"/>
        </w:rPr>
      </w:pPr>
    </w:p>
    <w:p w14:paraId="29E29AA7">
      <w:pPr>
        <w:rPr>
          <w:rFonts w:ascii="宋体" w:hAnsi="宋体" w:eastAsia="方正黑体简体"/>
          <w:sz w:val="32"/>
          <w:szCs w:val="32"/>
        </w:rPr>
      </w:pPr>
    </w:p>
    <w:p w14:paraId="352D67C1">
      <w:pPr>
        <w:spacing w:line="590" w:lineRule="exact"/>
        <w:jc w:val="left"/>
        <w:rPr>
          <w:rFonts w:hint="eastAsia" w:ascii="宋体" w:hAnsi="宋体" w:eastAsia="方正黑体简体"/>
          <w:sz w:val="32"/>
          <w:szCs w:val="32"/>
        </w:rPr>
      </w:pPr>
      <w:r>
        <w:rPr>
          <w:rFonts w:ascii="宋体" w:hAnsi="宋体" w:eastAsia="方正黑体简体"/>
          <w:sz w:val="32"/>
          <w:szCs w:val="32"/>
        </w:rPr>
        <w:t>附</w:t>
      </w:r>
      <w:r>
        <w:rPr>
          <w:rFonts w:hint="eastAsia" w:ascii="宋体" w:hAnsi="宋体" w:eastAsia="方正黑体简体"/>
          <w:sz w:val="32"/>
          <w:szCs w:val="32"/>
          <w:lang w:eastAsia="zh-CN"/>
        </w:rPr>
        <w:t>表</w:t>
      </w:r>
      <w:r>
        <w:rPr>
          <w:rFonts w:hint="eastAsia" w:ascii="宋体" w:hAnsi="宋体" w:eastAsia="方正黑体简体"/>
          <w:sz w:val="32"/>
          <w:szCs w:val="32"/>
        </w:rPr>
        <w:t>2</w:t>
      </w:r>
    </w:p>
    <w:p w14:paraId="3C171395">
      <w:pPr>
        <w:spacing w:line="590" w:lineRule="exact"/>
        <w:jc w:val="center"/>
        <w:rPr>
          <w:rFonts w:ascii="宋体" w:hAnsi="宋体" w:eastAsia="方正小标宋简体"/>
          <w:color w:val="000000"/>
          <w:spacing w:val="-12"/>
          <w:kern w:val="0"/>
          <w:sz w:val="40"/>
          <w:szCs w:val="40"/>
        </w:rPr>
      </w:pPr>
      <w:r>
        <w:rPr>
          <w:rFonts w:ascii="宋体" w:hAnsi="宋体" w:eastAsia="方正小标宋简体"/>
          <w:color w:val="000000"/>
          <w:spacing w:val="-12"/>
          <w:kern w:val="0"/>
          <w:sz w:val="40"/>
          <w:szCs w:val="40"/>
        </w:rPr>
        <w:t>20</w:t>
      </w:r>
      <w:r>
        <w:rPr>
          <w:rFonts w:hint="eastAsia" w:ascii="宋体" w:hAnsi="宋体" w:eastAsia="方正小标宋简体"/>
          <w:color w:val="000000"/>
          <w:spacing w:val="-12"/>
          <w:kern w:val="0"/>
          <w:sz w:val="40"/>
          <w:szCs w:val="40"/>
        </w:rPr>
        <w:t>2</w:t>
      </w:r>
      <w:r>
        <w:rPr>
          <w:rFonts w:hint="eastAsia" w:ascii="宋体" w:hAnsi="宋体" w:eastAsia="方正小标宋简体"/>
          <w:color w:val="000000"/>
          <w:spacing w:val="-12"/>
          <w:kern w:val="0"/>
          <w:sz w:val="40"/>
          <w:szCs w:val="40"/>
          <w:lang w:val="en-US" w:eastAsia="zh-CN"/>
        </w:rPr>
        <w:t>3</w:t>
      </w:r>
      <w:r>
        <w:rPr>
          <w:rFonts w:ascii="宋体" w:hAnsi="宋体" w:eastAsia="方正小标宋简体"/>
          <w:color w:val="000000"/>
          <w:spacing w:val="-12"/>
          <w:kern w:val="0"/>
          <w:sz w:val="40"/>
          <w:szCs w:val="40"/>
        </w:rPr>
        <w:t>年度市本级项目支出绩效目标完成情况表</w:t>
      </w:r>
    </w:p>
    <w:p w14:paraId="26AA6E38">
      <w:pPr>
        <w:pStyle w:val="2"/>
        <w:spacing w:after="0" w:line="590" w:lineRule="exact"/>
        <w:rPr>
          <w:rFonts w:ascii="宋体" w:hAnsi="宋体"/>
        </w:rPr>
      </w:pPr>
    </w:p>
    <w:tbl>
      <w:tblPr>
        <w:tblStyle w:val="8"/>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1069"/>
        <w:gridCol w:w="1145"/>
        <w:gridCol w:w="1194"/>
        <w:gridCol w:w="1414"/>
        <w:gridCol w:w="144"/>
        <w:gridCol w:w="1903"/>
        <w:gridCol w:w="11"/>
      </w:tblGrid>
      <w:tr w14:paraId="1A90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noWrap w:val="0"/>
            <w:vAlign w:val="center"/>
          </w:tcPr>
          <w:p w14:paraId="26BD40B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28577902">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名称</w:t>
            </w:r>
          </w:p>
        </w:tc>
        <w:tc>
          <w:tcPr>
            <w:tcW w:w="8069" w:type="dxa"/>
            <w:gridSpan w:val="8"/>
            <w:noWrap w:val="0"/>
            <w:vAlign w:val="center"/>
          </w:tcPr>
          <w:p w14:paraId="7D65115A">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hint="eastAsia" w:ascii="宋体" w:hAnsi="宋体"/>
                <w:color w:val="000000"/>
                <w:kern w:val="0"/>
                <w:sz w:val="20"/>
                <w:szCs w:val="20"/>
              </w:rPr>
              <w:t>平安建设-市域社会治理现代化试点工作</w:t>
            </w:r>
          </w:p>
        </w:tc>
      </w:tr>
      <w:tr w14:paraId="6E56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restart"/>
            <w:noWrap w:val="0"/>
            <w:vAlign w:val="center"/>
          </w:tcPr>
          <w:p w14:paraId="57711BF2">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04D294A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类型</w:t>
            </w:r>
          </w:p>
        </w:tc>
        <w:tc>
          <w:tcPr>
            <w:tcW w:w="1200" w:type="dxa"/>
            <w:gridSpan w:val="2"/>
            <w:noWrap w:val="0"/>
            <w:vAlign w:val="center"/>
          </w:tcPr>
          <w:p w14:paraId="5E2F3E8C">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产业发展</w:t>
            </w:r>
          </w:p>
        </w:tc>
        <w:tc>
          <w:tcPr>
            <w:tcW w:w="1069" w:type="dxa"/>
            <w:noWrap w:val="0"/>
            <w:vAlign w:val="center"/>
          </w:tcPr>
          <w:p w14:paraId="479F2A2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民生</w:t>
            </w:r>
          </w:p>
          <w:p w14:paraId="0FE54C5D">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保障</w:t>
            </w:r>
          </w:p>
        </w:tc>
        <w:tc>
          <w:tcPr>
            <w:tcW w:w="2339" w:type="dxa"/>
            <w:gridSpan w:val="2"/>
            <w:noWrap w:val="0"/>
            <w:vAlign w:val="center"/>
          </w:tcPr>
          <w:p w14:paraId="679F626C">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基础设施</w:t>
            </w:r>
          </w:p>
        </w:tc>
        <w:tc>
          <w:tcPr>
            <w:tcW w:w="3461" w:type="dxa"/>
            <w:gridSpan w:val="3"/>
            <w:noWrap w:val="0"/>
            <w:vAlign w:val="center"/>
          </w:tcPr>
          <w:p w14:paraId="421F9E7C">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行政运行</w:t>
            </w:r>
          </w:p>
        </w:tc>
      </w:tr>
      <w:tr w14:paraId="76E9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08" w:hRule="atLeast"/>
        </w:trPr>
        <w:tc>
          <w:tcPr>
            <w:tcW w:w="890" w:type="dxa"/>
            <w:vMerge w:val="continue"/>
            <w:noWrap w:val="0"/>
            <w:vAlign w:val="center"/>
          </w:tcPr>
          <w:p w14:paraId="3E40CB9A">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p>
        </w:tc>
        <w:tc>
          <w:tcPr>
            <w:tcW w:w="1200" w:type="dxa"/>
            <w:gridSpan w:val="2"/>
            <w:noWrap w:val="0"/>
            <w:vAlign w:val="center"/>
          </w:tcPr>
          <w:p w14:paraId="37983AF7">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sym w:font="Wingdings 2" w:char="00A3"/>
            </w:r>
          </w:p>
        </w:tc>
        <w:tc>
          <w:tcPr>
            <w:tcW w:w="1069" w:type="dxa"/>
            <w:noWrap w:val="0"/>
            <w:vAlign w:val="center"/>
          </w:tcPr>
          <w:p w14:paraId="7207C3B3">
            <w:pPr>
              <w:keepNext w:val="0"/>
              <w:keepLines w:val="0"/>
              <w:pageBreakBefore w:val="0"/>
              <w:kinsoku/>
              <w:wordWrap/>
              <w:overflowPunct/>
              <w:topLinePunct w:val="0"/>
              <w:autoSpaceDE/>
              <w:autoSpaceDN/>
              <w:bidi w:val="0"/>
              <w:spacing w:line="360" w:lineRule="exact"/>
              <w:jc w:val="center"/>
              <w:textAlignment w:val="auto"/>
              <w:rPr>
                <w:rFonts w:ascii="宋体" w:hAnsi="宋体"/>
              </w:rPr>
            </w:pPr>
            <w:r>
              <w:rPr>
                <w:rFonts w:ascii="宋体" w:hAnsi="宋体"/>
                <w:color w:val="000000"/>
                <w:kern w:val="0"/>
                <w:sz w:val="18"/>
                <w:szCs w:val="18"/>
              </w:rPr>
              <w:sym w:font="Wingdings 2" w:char="0052"/>
            </w:r>
          </w:p>
        </w:tc>
        <w:tc>
          <w:tcPr>
            <w:tcW w:w="2339" w:type="dxa"/>
            <w:gridSpan w:val="2"/>
            <w:noWrap w:val="0"/>
            <w:vAlign w:val="center"/>
          </w:tcPr>
          <w:p w14:paraId="251BEFB8">
            <w:pPr>
              <w:keepNext w:val="0"/>
              <w:keepLines w:val="0"/>
              <w:pageBreakBefore w:val="0"/>
              <w:kinsoku/>
              <w:wordWrap/>
              <w:overflowPunct/>
              <w:topLinePunct w:val="0"/>
              <w:autoSpaceDE/>
              <w:autoSpaceDN/>
              <w:bidi w:val="0"/>
              <w:spacing w:line="360" w:lineRule="exact"/>
              <w:jc w:val="center"/>
              <w:textAlignment w:val="auto"/>
              <w:rPr>
                <w:rFonts w:ascii="宋体" w:hAnsi="宋体"/>
              </w:rPr>
            </w:pPr>
            <w:r>
              <w:rPr>
                <w:rFonts w:ascii="宋体" w:hAnsi="宋体"/>
                <w:color w:val="000000"/>
                <w:kern w:val="0"/>
                <w:sz w:val="18"/>
                <w:szCs w:val="18"/>
              </w:rPr>
              <w:t>□</w:t>
            </w:r>
          </w:p>
        </w:tc>
        <w:tc>
          <w:tcPr>
            <w:tcW w:w="3461" w:type="dxa"/>
            <w:gridSpan w:val="3"/>
            <w:noWrap w:val="0"/>
            <w:vAlign w:val="center"/>
          </w:tcPr>
          <w:p w14:paraId="4B733377">
            <w:pPr>
              <w:keepNext w:val="0"/>
              <w:keepLines w:val="0"/>
              <w:pageBreakBefore w:val="0"/>
              <w:kinsoku/>
              <w:wordWrap/>
              <w:overflowPunct/>
              <w:topLinePunct w:val="0"/>
              <w:autoSpaceDE/>
              <w:autoSpaceDN/>
              <w:bidi w:val="0"/>
              <w:spacing w:line="360" w:lineRule="exact"/>
              <w:jc w:val="center"/>
              <w:textAlignment w:val="auto"/>
              <w:rPr>
                <w:rFonts w:ascii="宋体" w:hAnsi="宋体"/>
              </w:rPr>
            </w:pPr>
            <w:r>
              <w:rPr>
                <w:rFonts w:ascii="宋体" w:hAnsi="宋体"/>
                <w:color w:val="000000"/>
                <w:kern w:val="0"/>
                <w:sz w:val="18"/>
                <w:szCs w:val="18"/>
              </w:rPr>
              <w:t>□</w:t>
            </w:r>
          </w:p>
        </w:tc>
      </w:tr>
      <w:tr w14:paraId="60FB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noWrap w:val="0"/>
            <w:vAlign w:val="center"/>
          </w:tcPr>
          <w:p w14:paraId="67C51556">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部门（单位）名称</w:t>
            </w:r>
          </w:p>
        </w:tc>
        <w:tc>
          <w:tcPr>
            <w:tcW w:w="4608" w:type="dxa"/>
            <w:gridSpan w:val="5"/>
            <w:noWrap w:val="0"/>
            <w:vAlign w:val="center"/>
          </w:tcPr>
          <w:p w14:paraId="00BF5742">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hint="eastAsia" w:ascii="宋体" w:hAnsi="宋体"/>
                <w:color w:val="000000"/>
                <w:kern w:val="0"/>
                <w:sz w:val="18"/>
                <w:szCs w:val="18"/>
              </w:rPr>
              <w:t>中共资阳市委政法委员</w:t>
            </w:r>
            <w:r>
              <w:rPr>
                <w:rFonts w:hint="eastAsia" w:ascii="宋体" w:hAnsi="宋体"/>
                <w:color w:val="000000"/>
                <w:kern w:val="0"/>
                <w:sz w:val="18"/>
                <w:szCs w:val="18"/>
                <w:lang w:eastAsia="zh-CN"/>
              </w:rPr>
              <w:t>会</w:t>
            </w:r>
            <w:r>
              <w:rPr>
                <w:rFonts w:ascii="宋体" w:hAnsi="宋体"/>
                <w:color w:val="000000"/>
                <w:kern w:val="0"/>
                <w:sz w:val="18"/>
                <w:szCs w:val="18"/>
              </w:rPr>
              <w:t>　</w:t>
            </w:r>
          </w:p>
        </w:tc>
        <w:tc>
          <w:tcPr>
            <w:tcW w:w="1558" w:type="dxa"/>
            <w:gridSpan w:val="2"/>
            <w:noWrap w:val="0"/>
            <w:vAlign w:val="center"/>
          </w:tcPr>
          <w:p w14:paraId="6A6E9D3A">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预算单位编码</w:t>
            </w:r>
          </w:p>
        </w:tc>
        <w:tc>
          <w:tcPr>
            <w:tcW w:w="1903" w:type="dxa"/>
            <w:noWrap w:val="0"/>
            <w:vAlign w:val="center"/>
          </w:tcPr>
          <w:p w14:paraId="4CF2A9FD">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106001</w:t>
            </w:r>
          </w:p>
        </w:tc>
      </w:tr>
      <w:tr w14:paraId="15EF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trPr>
        <w:tc>
          <w:tcPr>
            <w:tcW w:w="890" w:type="dxa"/>
            <w:vMerge w:val="restart"/>
            <w:noWrap w:val="0"/>
            <w:vAlign w:val="center"/>
          </w:tcPr>
          <w:p w14:paraId="20CC15A0">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预算执行情况</w:t>
            </w:r>
          </w:p>
        </w:tc>
        <w:tc>
          <w:tcPr>
            <w:tcW w:w="1200" w:type="dxa"/>
            <w:gridSpan w:val="2"/>
            <w:noWrap w:val="0"/>
            <w:vAlign w:val="center"/>
          </w:tcPr>
          <w:p w14:paraId="1D6CDF70">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tc>
        <w:tc>
          <w:tcPr>
            <w:tcW w:w="1069" w:type="dxa"/>
            <w:noWrap w:val="0"/>
            <w:vAlign w:val="center"/>
          </w:tcPr>
          <w:p w14:paraId="255151C5">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预算额(百元)</w:t>
            </w:r>
          </w:p>
        </w:tc>
        <w:tc>
          <w:tcPr>
            <w:tcW w:w="1145" w:type="dxa"/>
            <w:noWrap w:val="0"/>
            <w:vAlign w:val="center"/>
          </w:tcPr>
          <w:p w14:paraId="2F659C48">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执行额(百元)</w:t>
            </w:r>
          </w:p>
        </w:tc>
        <w:tc>
          <w:tcPr>
            <w:tcW w:w="1194" w:type="dxa"/>
            <w:noWrap w:val="0"/>
            <w:vAlign w:val="center"/>
          </w:tcPr>
          <w:p w14:paraId="6470B2FB">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当年结转结余额(百元)</w:t>
            </w:r>
          </w:p>
        </w:tc>
        <w:tc>
          <w:tcPr>
            <w:tcW w:w="1558" w:type="dxa"/>
            <w:gridSpan w:val="2"/>
            <w:noWrap w:val="0"/>
            <w:vAlign w:val="center"/>
          </w:tcPr>
          <w:p w14:paraId="0E45B98A">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结转结余率%</w:t>
            </w:r>
          </w:p>
        </w:tc>
        <w:tc>
          <w:tcPr>
            <w:tcW w:w="1903" w:type="dxa"/>
            <w:noWrap w:val="0"/>
            <w:vAlign w:val="center"/>
          </w:tcPr>
          <w:p w14:paraId="4AD71191">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结转结余变动率%</w:t>
            </w:r>
          </w:p>
        </w:tc>
      </w:tr>
      <w:tr w14:paraId="35B9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continue"/>
            <w:noWrap w:val="0"/>
            <w:vAlign w:val="center"/>
          </w:tcPr>
          <w:p w14:paraId="51F653FD">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200" w:type="dxa"/>
            <w:gridSpan w:val="2"/>
            <w:noWrap w:val="0"/>
            <w:vAlign w:val="center"/>
          </w:tcPr>
          <w:p w14:paraId="17B40C95">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合   计</w:t>
            </w:r>
          </w:p>
        </w:tc>
        <w:tc>
          <w:tcPr>
            <w:tcW w:w="1069" w:type="dxa"/>
            <w:noWrap w:val="0"/>
            <w:vAlign w:val="center"/>
          </w:tcPr>
          <w:p w14:paraId="7004D1A2">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lang w:val="en-US" w:eastAsia="zh-CN"/>
              </w:rPr>
              <w:t>7</w:t>
            </w:r>
            <w:r>
              <w:rPr>
                <w:rFonts w:hint="eastAsia" w:ascii="宋体" w:hAnsi="宋体"/>
                <w:color w:val="000000"/>
                <w:kern w:val="0"/>
                <w:sz w:val="18"/>
                <w:szCs w:val="18"/>
              </w:rPr>
              <w:t>000.00</w:t>
            </w:r>
          </w:p>
        </w:tc>
        <w:tc>
          <w:tcPr>
            <w:tcW w:w="1145" w:type="dxa"/>
            <w:noWrap w:val="0"/>
            <w:vAlign w:val="center"/>
          </w:tcPr>
          <w:p w14:paraId="26CA45B9">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lang w:val="en-US" w:eastAsia="zh-CN" w:bidi="ar-SA"/>
              </w:rPr>
            </w:pPr>
            <w:r>
              <w:rPr>
                <w:rFonts w:ascii="宋体" w:hAnsi="宋体"/>
                <w:color w:val="000000"/>
                <w:kern w:val="0"/>
                <w:sz w:val="18"/>
                <w:szCs w:val="18"/>
              </w:rPr>
              <w:t>　</w:t>
            </w:r>
            <w:r>
              <w:rPr>
                <w:rFonts w:hint="eastAsia" w:ascii="宋体" w:hAnsi="宋体"/>
                <w:color w:val="000000"/>
                <w:kern w:val="0"/>
                <w:sz w:val="18"/>
                <w:szCs w:val="18"/>
                <w:lang w:val="en-US" w:eastAsia="zh-CN"/>
              </w:rPr>
              <w:t>7</w:t>
            </w:r>
            <w:r>
              <w:rPr>
                <w:rFonts w:hint="eastAsia" w:ascii="宋体" w:hAnsi="宋体"/>
                <w:color w:val="000000"/>
                <w:kern w:val="0"/>
                <w:sz w:val="18"/>
                <w:szCs w:val="18"/>
              </w:rPr>
              <w:t>000.00</w:t>
            </w:r>
          </w:p>
        </w:tc>
        <w:tc>
          <w:tcPr>
            <w:tcW w:w="1194" w:type="dxa"/>
            <w:noWrap w:val="0"/>
            <w:vAlign w:val="center"/>
          </w:tcPr>
          <w:p w14:paraId="3A69343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558" w:type="dxa"/>
            <w:gridSpan w:val="2"/>
            <w:noWrap w:val="0"/>
            <w:vAlign w:val="center"/>
          </w:tcPr>
          <w:p w14:paraId="60C575E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903" w:type="dxa"/>
            <w:noWrap w:val="0"/>
            <w:vAlign w:val="center"/>
          </w:tcPr>
          <w:p w14:paraId="42626CE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r>
      <w:tr w14:paraId="2B48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continue"/>
            <w:noWrap w:val="0"/>
            <w:vAlign w:val="center"/>
          </w:tcPr>
          <w:p w14:paraId="66480D3E">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200" w:type="dxa"/>
            <w:gridSpan w:val="2"/>
            <w:noWrap w:val="0"/>
            <w:vAlign w:val="center"/>
          </w:tcPr>
          <w:p w14:paraId="5326C4B3">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财政拨款</w:t>
            </w:r>
          </w:p>
        </w:tc>
        <w:tc>
          <w:tcPr>
            <w:tcW w:w="1069" w:type="dxa"/>
            <w:noWrap w:val="0"/>
            <w:vAlign w:val="center"/>
          </w:tcPr>
          <w:p w14:paraId="497DB9FB">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lang w:val="en-US" w:eastAsia="zh-CN"/>
              </w:rPr>
              <w:t>7</w:t>
            </w:r>
            <w:r>
              <w:rPr>
                <w:rFonts w:hint="eastAsia" w:ascii="宋体" w:hAnsi="宋体"/>
                <w:color w:val="000000"/>
                <w:kern w:val="0"/>
                <w:sz w:val="18"/>
                <w:szCs w:val="18"/>
              </w:rPr>
              <w:t>000.00</w:t>
            </w:r>
          </w:p>
        </w:tc>
        <w:tc>
          <w:tcPr>
            <w:tcW w:w="1145" w:type="dxa"/>
            <w:noWrap w:val="0"/>
            <w:vAlign w:val="center"/>
          </w:tcPr>
          <w:p w14:paraId="73D08D3F">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lang w:val="en-US" w:eastAsia="zh-CN"/>
              </w:rPr>
              <w:t>7</w:t>
            </w:r>
            <w:r>
              <w:rPr>
                <w:rFonts w:hint="eastAsia" w:ascii="宋体" w:hAnsi="宋体"/>
                <w:color w:val="000000"/>
                <w:kern w:val="0"/>
                <w:sz w:val="18"/>
                <w:szCs w:val="18"/>
              </w:rPr>
              <w:t>000.00</w:t>
            </w:r>
          </w:p>
        </w:tc>
        <w:tc>
          <w:tcPr>
            <w:tcW w:w="1194" w:type="dxa"/>
            <w:noWrap w:val="0"/>
            <w:vAlign w:val="center"/>
          </w:tcPr>
          <w:p w14:paraId="20AC7FE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558" w:type="dxa"/>
            <w:gridSpan w:val="2"/>
            <w:noWrap w:val="0"/>
            <w:vAlign w:val="center"/>
          </w:tcPr>
          <w:p w14:paraId="5611758C">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903" w:type="dxa"/>
            <w:noWrap w:val="0"/>
            <w:vAlign w:val="center"/>
          </w:tcPr>
          <w:p w14:paraId="51164F6C">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r>
      <w:tr w14:paraId="7F12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70A92599">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200" w:type="dxa"/>
            <w:gridSpan w:val="2"/>
            <w:noWrap w:val="0"/>
            <w:vAlign w:val="center"/>
          </w:tcPr>
          <w:p w14:paraId="25829E5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其他资金</w:t>
            </w:r>
          </w:p>
        </w:tc>
        <w:tc>
          <w:tcPr>
            <w:tcW w:w="1069" w:type="dxa"/>
            <w:noWrap w:val="0"/>
            <w:vAlign w:val="center"/>
          </w:tcPr>
          <w:p w14:paraId="283891C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145" w:type="dxa"/>
            <w:noWrap w:val="0"/>
            <w:vAlign w:val="center"/>
          </w:tcPr>
          <w:p w14:paraId="4C995070">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　</w:t>
            </w:r>
          </w:p>
        </w:tc>
        <w:tc>
          <w:tcPr>
            <w:tcW w:w="1194" w:type="dxa"/>
            <w:noWrap w:val="0"/>
            <w:vAlign w:val="center"/>
          </w:tcPr>
          <w:p w14:paraId="228B70AD">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558" w:type="dxa"/>
            <w:gridSpan w:val="2"/>
            <w:noWrap w:val="0"/>
            <w:vAlign w:val="center"/>
          </w:tcPr>
          <w:p w14:paraId="259DB9CA">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903" w:type="dxa"/>
            <w:noWrap w:val="0"/>
            <w:vAlign w:val="center"/>
          </w:tcPr>
          <w:p w14:paraId="1992BD0A">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r>
      <w:tr w14:paraId="5252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3" w:hRule="atLeast"/>
        </w:trPr>
        <w:tc>
          <w:tcPr>
            <w:tcW w:w="890" w:type="dxa"/>
            <w:vMerge w:val="restart"/>
            <w:noWrap w:val="0"/>
            <w:vAlign w:val="center"/>
          </w:tcPr>
          <w:p w14:paraId="695BCC29">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财政拨款结构</w:t>
            </w:r>
          </w:p>
        </w:tc>
        <w:tc>
          <w:tcPr>
            <w:tcW w:w="1200" w:type="dxa"/>
            <w:gridSpan w:val="2"/>
            <w:noWrap w:val="0"/>
            <w:vAlign w:val="center"/>
          </w:tcPr>
          <w:p w14:paraId="355F7280">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tc>
        <w:tc>
          <w:tcPr>
            <w:tcW w:w="1069" w:type="dxa"/>
            <w:noWrap w:val="0"/>
            <w:vAlign w:val="center"/>
          </w:tcPr>
          <w:p w14:paraId="40E092D3">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合计</w:t>
            </w:r>
          </w:p>
        </w:tc>
        <w:tc>
          <w:tcPr>
            <w:tcW w:w="1145" w:type="dxa"/>
            <w:noWrap w:val="0"/>
            <w:vAlign w:val="center"/>
          </w:tcPr>
          <w:p w14:paraId="71C603C4">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一般公共预算安排</w:t>
            </w:r>
          </w:p>
        </w:tc>
        <w:tc>
          <w:tcPr>
            <w:tcW w:w="1194" w:type="dxa"/>
            <w:noWrap w:val="0"/>
            <w:vAlign w:val="center"/>
          </w:tcPr>
          <w:p w14:paraId="0BB64F71">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政府性基金预算安排</w:t>
            </w:r>
          </w:p>
        </w:tc>
        <w:tc>
          <w:tcPr>
            <w:tcW w:w="1558" w:type="dxa"/>
            <w:gridSpan w:val="2"/>
            <w:noWrap w:val="0"/>
            <w:vAlign w:val="center"/>
          </w:tcPr>
          <w:p w14:paraId="2E60CD24">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国有资本经营预算安排</w:t>
            </w:r>
          </w:p>
        </w:tc>
        <w:tc>
          <w:tcPr>
            <w:tcW w:w="1903" w:type="dxa"/>
            <w:noWrap w:val="0"/>
            <w:vAlign w:val="center"/>
          </w:tcPr>
          <w:p w14:paraId="19528AF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社保基金预算安排</w:t>
            </w:r>
          </w:p>
        </w:tc>
      </w:tr>
      <w:tr w14:paraId="51BB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51B13BD1">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200" w:type="dxa"/>
            <w:gridSpan w:val="2"/>
            <w:noWrap w:val="0"/>
            <w:vAlign w:val="center"/>
          </w:tcPr>
          <w:p w14:paraId="25B03944">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预算额</w:t>
            </w:r>
          </w:p>
          <w:p w14:paraId="4F7E3E3B">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(百元)</w:t>
            </w:r>
          </w:p>
        </w:tc>
        <w:tc>
          <w:tcPr>
            <w:tcW w:w="1069" w:type="dxa"/>
            <w:noWrap w:val="0"/>
            <w:vAlign w:val="center"/>
          </w:tcPr>
          <w:p w14:paraId="0511139D">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lang w:val="en-US" w:eastAsia="zh-CN"/>
              </w:rPr>
              <w:t>7</w:t>
            </w:r>
            <w:r>
              <w:rPr>
                <w:rFonts w:hint="eastAsia" w:ascii="宋体" w:hAnsi="宋体"/>
                <w:color w:val="000000"/>
                <w:kern w:val="0"/>
                <w:sz w:val="18"/>
                <w:szCs w:val="18"/>
              </w:rPr>
              <w:t>000.00</w:t>
            </w:r>
          </w:p>
        </w:tc>
        <w:tc>
          <w:tcPr>
            <w:tcW w:w="1145" w:type="dxa"/>
            <w:noWrap w:val="0"/>
            <w:vAlign w:val="center"/>
          </w:tcPr>
          <w:p w14:paraId="3532508F">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lang w:val="en-US" w:eastAsia="zh-CN"/>
              </w:rPr>
              <w:t>7</w:t>
            </w:r>
            <w:r>
              <w:rPr>
                <w:rFonts w:hint="eastAsia" w:ascii="宋体" w:hAnsi="宋体"/>
                <w:color w:val="000000"/>
                <w:kern w:val="0"/>
                <w:sz w:val="18"/>
                <w:szCs w:val="18"/>
              </w:rPr>
              <w:t>000.00</w:t>
            </w:r>
          </w:p>
        </w:tc>
        <w:tc>
          <w:tcPr>
            <w:tcW w:w="1194" w:type="dxa"/>
            <w:noWrap w:val="0"/>
            <w:vAlign w:val="center"/>
          </w:tcPr>
          <w:p w14:paraId="73C983EA">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558" w:type="dxa"/>
            <w:gridSpan w:val="2"/>
            <w:noWrap w:val="0"/>
            <w:vAlign w:val="center"/>
          </w:tcPr>
          <w:p w14:paraId="3342C13E">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903" w:type="dxa"/>
            <w:noWrap w:val="0"/>
            <w:vAlign w:val="center"/>
          </w:tcPr>
          <w:p w14:paraId="43FC08E0">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r>
      <w:tr w14:paraId="1A2B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72A697FB">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200" w:type="dxa"/>
            <w:gridSpan w:val="2"/>
            <w:noWrap w:val="0"/>
            <w:vAlign w:val="center"/>
          </w:tcPr>
          <w:p w14:paraId="4FBB358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执行额</w:t>
            </w:r>
          </w:p>
          <w:p w14:paraId="44D70949">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(百元)</w:t>
            </w:r>
          </w:p>
        </w:tc>
        <w:tc>
          <w:tcPr>
            <w:tcW w:w="1069" w:type="dxa"/>
            <w:noWrap w:val="0"/>
            <w:vAlign w:val="center"/>
          </w:tcPr>
          <w:p w14:paraId="4B1652A7">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lang w:val="en-US" w:eastAsia="zh-CN"/>
              </w:rPr>
              <w:t>7</w:t>
            </w:r>
            <w:r>
              <w:rPr>
                <w:rFonts w:hint="eastAsia" w:ascii="宋体" w:hAnsi="宋体"/>
                <w:color w:val="000000"/>
                <w:kern w:val="0"/>
                <w:sz w:val="18"/>
                <w:szCs w:val="18"/>
              </w:rPr>
              <w:t>000.00</w:t>
            </w:r>
          </w:p>
        </w:tc>
        <w:tc>
          <w:tcPr>
            <w:tcW w:w="1145" w:type="dxa"/>
            <w:noWrap w:val="0"/>
            <w:vAlign w:val="center"/>
          </w:tcPr>
          <w:p w14:paraId="337927C3">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lang w:val="en-US" w:eastAsia="zh-CN"/>
              </w:rPr>
              <w:t>7</w:t>
            </w:r>
            <w:r>
              <w:rPr>
                <w:rFonts w:hint="eastAsia" w:ascii="宋体" w:hAnsi="宋体"/>
                <w:color w:val="000000"/>
                <w:kern w:val="0"/>
                <w:sz w:val="18"/>
                <w:szCs w:val="18"/>
              </w:rPr>
              <w:t>000.00</w:t>
            </w:r>
          </w:p>
        </w:tc>
        <w:tc>
          <w:tcPr>
            <w:tcW w:w="1194" w:type="dxa"/>
            <w:noWrap w:val="0"/>
            <w:vAlign w:val="center"/>
          </w:tcPr>
          <w:p w14:paraId="611B43D9">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558" w:type="dxa"/>
            <w:gridSpan w:val="2"/>
            <w:noWrap w:val="0"/>
            <w:vAlign w:val="center"/>
          </w:tcPr>
          <w:p w14:paraId="7BAEF9B6">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903" w:type="dxa"/>
            <w:noWrap w:val="0"/>
            <w:vAlign w:val="center"/>
          </w:tcPr>
          <w:p w14:paraId="18E38C25">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r>
      <w:tr w14:paraId="0FC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1761F81B">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200" w:type="dxa"/>
            <w:gridSpan w:val="2"/>
            <w:noWrap w:val="0"/>
            <w:vAlign w:val="center"/>
          </w:tcPr>
          <w:p w14:paraId="67701851">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当年结转结余额(百元)</w:t>
            </w:r>
          </w:p>
        </w:tc>
        <w:tc>
          <w:tcPr>
            <w:tcW w:w="1069" w:type="dxa"/>
            <w:noWrap w:val="0"/>
            <w:vAlign w:val="center"/>
          </w:tcPr>
          <w:p w14:paraId="52B7B8C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145" w:type="dxa"/>
            <w:noWrap w:val="0"/>
            <w:vAlign w:val="center"/>
          </w:tcPr>
          <w:p w14:paraId="7352F79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194" w:type="dxa"/>
            <w:noWrap w:val="0"/>
            <w:vAlign w:val="center"/>
          </w:tcPr>
          <w:p w14:paraId="5A02D556">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558" w:type="dxa"/>
            <w:gridSpan w:val="2"/>
            <w:noWrap w:val="0"/>
            <w:vAlign w:val="center"/>
          </w:tcPr>
          <w:p w14:paraId="26D37843">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903" w:type="dxa"/>
            <w:noWrap w:val="0"/>
            <w:vAlign w:val="center"/>
          </w:tcPr>
          <w:p w14:paraId="130FE2B2">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r>
      <w:tr w14:paraId="7B8E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4AB42315">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200" w:type="dxa"/>
            <w:gridSpan w:val="2"/>
            <w:noWrap w:val="0"/>
            <w:vAlign w:val="center"/>
          </w:tcPr>
          <w:p w14:paraId="3CC93E5C">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结转结余率%</w:t>
            </w:r>
          </w:p>
        </w:tc>
        <w:tc>
          <w:tcPr>
            <w:tcW w:w="1069" w:type="dxa"/>
            <w:noWrap w:val="0"/>
            <w:vAlign w:val="center"/>
          </w:tcPr>
          <w:p w14:paraId="43A85EF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145" w:type="dxa"/>
            <w:noWrap w:val="0"/>
            <w:vAlign w:val="center"/>
          </w:tcPr>
          <w:p w14:paraId="3D4C214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194" w:type="dxa"/>
            <w:noWrap w:val="0"/>
            <w:vAlign w:val="center"/>
          </w:tcPr>
          <w:p w14:paraId="498C5721">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558" w:type="dxa"/>
            <w:gridSpan w:val="2"/>
            <w:noWrap w:val="0"/>
            <w:vAlign w:val="center"/>
          </w:tcPr>
          <w:p w14:paraId="4DFF6BFF">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903" w:type="dxa"/>
            <w:noWrap w:val="0"/>
            <w:vAlign w:val="center"/>
          </w:tcPr>
          <w:p w14:paraId="2480109D">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r>
      <w:tr w14:paraId="4F30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709067A3">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200" w:type="dxa"/>
            <w:gridSpan w:val="2"/>
            <w:noWrap w:val="0"/>
            <w:vAlign w:val="center"/>
          </w:tcPr>
          <w:p w14:paraId="4A321AE2">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结转结余变动率%</w:t>
            </w:r>
          </w:p>
        </w:tc>
        <w:tc>
          <w:tcPr>
            <w:tcW w:w="1069" w:type="dxa"/>
            <w:noWrap w:val="0"/>
            <w:vAlign w:val="center"/>
          </w:tcPr>
          <w:p w14:paraId="468F146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145" w:type="dxa"/>
            <w:noWrap w:val="0"/>
            <w:vAlign w:val="center"/>
          </w:tcPr>
          <w:p w14:paraId="5A89B46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194" w:type="dxa"/>
            <w:noWrap w:val="0"/>
            <w:vAlign w:val="center"/>
          </w:tcPr>
          <w:p w14:paraId="1B182C26">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558" w:type="dxa"/>
            <w:gridSpan w:val="2"/>
            <w:noWrap w:val="0"/>
            <w:vAlign w:val="center"/>
          </w:tcPr>
          <w:p w14:paraId="4C5C6EC8">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c>
          <w:tcPr>
            <w:tcW w:w="1903" w:type="dxa"/>
            <w:noWrap w:val="0"/>
            <w:vAlign w:val="center"/>
          </w:tcPr>
          <w:p w14:paraId="235B963E">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0</w:t>
            </w:r>
          </w:p>
        </w:tc>
      </w:tr>
      <w:tr w14:paraId="7014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4" w:hRule="atLeast"/>
        </w:trPr>
        <w:tc>
          <w:tcPr>
            <w:tcW w:w="890" w:type="dxa"/>
            <w:vMerge w:val="restart"/>
            <w:noWrap w:val="0"/>
            <w:vAlign w:val="center"/>
          </w:tcPr>
          <w:p w14:paraId="1EAF076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年度总体目标</w:t>
            </w:r>
          </w:p>
        </w:tc>
        <w:tc>
          <w:tcPr>
            <w:tcW w:w="2269" w:type="dxa"/>
            <w:gridSpan w:val="3"/>
            <w:noWrap w:val="0"/>
            <w:vAlign w:val="center"/>
          </w:tcPr>
          <w:p w14:paraId="671A6442">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w:t>
            </w:r>
          </w:p>
        </w:tc>
        <w:tc>
          <w:tcPr>
            <w:tcW w:w="2339" w:type="dxa"/>
            <w:gridSpan w:val="2"/>
            <w:noWrap w:val="0"/>
            <w:vAlign w:val="center"/>
          </w:tcPr>
          <w:p w14:paraId="2BA29453">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预算总体目标执行结果</w:t>
            </w:r>
          </w:p>
        </w:tc>
        <w:tc>
          <w:tcPr>
            <w:tcW w:w="3461" w:type="dxa"/>
            <w:gridSpan w:val="3"/>
            <w:noWrap w:val="0"/>
            <w:vAlign w:val="center"/>
          </w:tcPr>
          <w:p w14:paraId="6A9C6B41">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预算总体目标与预算总体目标执行结果偏差情况及原因分析</w:t>
            </w:r>
          </w:p>
        </w:tc>
      </w:tr>
      <w:tr w14:paraId="5532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continue"/>
            <w:noWrap w:val="0"/>
            <w:vAlign w:val="center"/>
          </w:tcPr>
          <w:p w14:paraId="32F15903">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2269" w:type="dxa"/>
            <w:gridSpan w:val="3"/>
            <w:noWrap w:val="0"/>
            <w:vAlign w:val="center"/>
          </w:tcPr>
          <w:p w14:paraId="3C826289">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2339" w:type="dxa"/>
            <w:gridSpan w:val="2"/>
            <w:noWrap w:val="0"/>
            <w:vAlign w:val="center"/>
          </w:tcPr>
          <w:p w14:paraId="314E5EB1">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p>
        </w:tc>
        <w:tc>
          <w:tcPr>
            <w:tcW w:w="3461" w:type="dxa"/>
            <w:gridSpan w:val="3"/>
            <w:noWrap w:val="0"/>
            <w:vAlign w:val="center"/>
          </w:tcPr>
          <w:p w14:paraId="33507CB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　</w:t>
            </w:r>
          </w:p>
        </w:tc>
      </w:tr>
      <w:tr w14:paraId="38C7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90" w:type="dxa"/>
            <w:vMerge w:val="restart"/>
            <w:noWrap w:val="0"/>
            <w:vAlign w:val="center"/>
          </w:tcPr>
          <w:p w14:paraId="1C84EB7B">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年度绩</w:t>
            </w:r>
          </w:p>
          <w:p w14:paraId="542C1136">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效指标</w:t>
            </w:r>
          </w:p>
        </w:tc>
        <w:tc>
          <w:tcPr>
            <w:tcW w:w="847" w:type="dxa"/>
            <w:noWrap w:val="0"/>
            <w:vAlign w:val="center"/>
          </w:tcPr>
          <w:p w14:paraId="0FB2D48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一级</w:t>
            </w:r>
          </w:p>
          <w:p w14:paraId="6C0D2B6E">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422" w:type="dxa"/>
            <w:gridSpan w:val="2"/>
            <w:noWrap w:val="0"/>
            <w:vAlign w:val="center"/>
          </w:tcPr>
          <w:p w14:paraId="58823F86">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二级指标</w:t>
            </w:r>
          </w:p>
        </w:tc>
        <w:tc>
          <w:tcPr>
            <w:tcW w:w="1145" w:type="dxa"/>
            <w:noWrap w:val="0"/>
            <w:vAlign w:val="center"/>
          </w:tcPr>
          <w:p w14:paraId="3E82DE75">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三级</w:t>
            </w:r>
          </w:p>
          <w:p w14:paraId="4EA5FAC5">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94" w:type="dxa"/>
            <w:noWrap w:val="0"/>
            <w:vAlign w:val="center"/>
          </w:tcPr>
          <w:p w14:paraId="6A2A231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预算指标值(包含数字及文字描述)</w:t>
            </w:r>
          </w:p>
        </w:tc>
        <w:tc>
          <w:tcPr>
            <w:tcW w:w="1414" w:type="dxa"/>
            <w:noWrap w:val="0"/>
            <w:vAlign w:val="center"/>
          </w:tcPr>
          <w:p w14:paraId="1E1CB0FD">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预算指标值执行结果(包含数字及文字描述)</w:t>
            </w:r>
          </w:p>
        </w:tc>
        <w:tc>
          <w:tcPr>
            <w:tcW w:w="2058" w:type="dxa"/>
            <w:gridSpan w:val="3"/>
            <w:noWrap w:val="0"/>
            <w:vAlign w:val="center"/>
          </w:tcPr>
          <w:p w14:paraId="133C3220">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预算指标值与预算指标值执行结果偏差情况及原因分析</w:t>
            </w:r>
          </w:p>
        </w:tc>
      </w:tr>
      <w:tr w14:paraId="0331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533F87FC">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847" w:type="dxa"/>
            <w:vMerge w:val="restart"/>
            <w:noWrap w:val="0"/>
            <w:vAlign w:val="center"/>
          </w:tcPr>
          <w:p w14:paraId="308AC9CD">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154A9372">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完成</w:t>
            </w:r>
          </w:p>
        </w:tc>
        <w:tc>
          <w:tcPr>
            <w:tcW w:w="1422" w:type="dxa"/>
            <w:gridSpan w:val="2"/>
            <w:noWrap w:val="0"/>
            <w:vAlign w:val="center"/>
          </w:tcPr>
          <w:p w14:paraId="62BB4497">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数量</w:t>
            </w:r>
          </w:p>
          <w:p w14:paraId="0A800BA7">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45" w:type="dxa"/>
            <w:noWrap w:val="0"/>
            <w:vAlign w:val="center"/>
          </w:tcPr>
          <w:p w14:paraId="657BAFF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平安四川建设考评排名</w:t>
            </w:r>
          </w:p>
        </w:tc>
        <w:tc>
          <w:tcPr>
            <w:tcW w:w="1194" w:type="dxa"/>
            <w:noWrap w:val="0"/>
            <w:vAlign w:val="center"/>
          </w:tcPr>
          <w:p w14:paraId="5DFA698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平安四川建设考评进入全省第一方阵</w:t>
            </w:r>
          </w:p>
        </w:tc>
        <w:tc>
          <w:tcPr>
            <w:tcW w:w="1414" w:type="dxa"/>
            <w:noWrap w:val="0"/>
            <w:vAlign w:val="center"/>
          </w:tcPr>
          <w:p w14:paraId="6D3D3ED1">
            <w:pPr>
              <w:keepNext w:val="0"/>
              <w:keepLines w:val="0"/>
              <w:pageBreakBefore w:val="0"/>
              <w:widowControl/>
              <w:kinsoku/>
              <w:wordWrap/>
              <w:overflowPunct/>
              <w:topLinePunct w:val="0"/>
              <w:autoSpaceDE/>
              <w:autoSpaceDN/>
              <w:bidi w:val="0"/>
              <w:spacing w:line="360" w:lineRule="exact"/>
              <w:jc w:val="both"/>
              <w:textAlignment w:val="auto"/>
              <w:rPr>
                <w:rFonts w:hint="default" w:ascii="宋体" w:hAnsi="宋体" w:eastAsia="宋体"/>
                <w:color w:val="FF0000"/>
                <w:kern w:val="0"/>
                <w:sz w:val="18"/>
                <w:szCs w:val="18"/>
                <w:lang w:val="en-US" w:eastAsia="zh-CN"/>
              </w:rPr>
            </w:pPr>
            <w:r>
              <w:rPr>
                <w:rFonts w:hint="eastAsia" w:ascii="宋体" w:hAnsi="宋体"/>
                <w:color w:val="auto"/>
                <w:kern w:val="0"/>
                <w:sz w:val="18"/>
                <w:szCs w:val="18"/>
                <w:lang w:eastAsia="zh-CN"/>
              </w:rPr>
              <w:t>我市</w:t>
            </w:r>
            <w:r>
              <w:rPr>
                <w:rFonts w:hint="eastAsia" w:ascii="宋体" w:hAnsi="宋体"/>
                <w:color w:val="auto"/>
                <w:kern w:val="0"/>
                <w:sz w:val="18"/>
                <w:szCs w:val="18"/>
                <w:lang w:val="en-US" w:eastAsia="zh-CN"/>
              </w:rPr>
              <w:t>2023年平安四川建设考评排名全省第7，进入全省第一方阵</w:t>
            </w:r>
          </w:p>
        </w:tc>
        <w:tc>
          <w:tcPr>
            <w:tcW w:w="2058" w:type="dxa"/>
            <w:gridSpan w:val="3"/>
            <w:noWrap w:val="0"/>
            <w:vAlign w:val="center"/>
          </w:tcPr>
          <w:p w14:paraId="775BC3B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olor w:val="000000"/>
                <w:kern w:val="0"/>
                <w:sz w:val="18"/>
                <w:szCs w:val="18"/>
                <w:lang w:eastAsia="zh-CN"/>
              </w:rPr>
            </w:pPr>
            <w:r>
              <w:rPr>
                <w:rFonts w:ascii="宋体" w:hAnsi="宋体"/>
                <w:color w:val="000000"/>
                <w:kern w:val="0"/>
                <w:sz w:val="18"/>
                <w:szCs w:val="18"/>
              </w:rPr>
              <w:t>　</w:t>
            </w:r>
            <w:r>
              <w:rPr>
                <w:rFonts w:hint="eastAsia" w:ascii="宋体" w:hAnsi="宋体"/>
                <w:color w:val="000000"/>
                <w:kern w:val="0"/>
                <w:sz w:val="18"/>
                <w:szCs w:val="18"/>
                <w:lang w:eastAsia="zh-CN"/>
              </w:rPr>
              <w:t>无偏差</w:t>
            </w:r>
          </w:p>
        </w:tc>
      </w:tr>
      <w:tr w14:paraId="6CCB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7" w:hRule="atLeast"/>
        </w:trPr>
        <w:tc>
          <w:tcPr>
            <w:tcW w:w="890" w:type="dxa"/>
            <w:vMerge w:val="continue"/>
            <w:noWrap w:val="0"/>
            <w:vAlign w:val="center"/>
          </w:tcPr>
          <w:p w14:paraId="775EC289">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0950B618">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422" w:type="dxa"/>
            <w:gridSpan w:val="2"/>
            <w:noWrap w:val="0"/>
            <w:vAlign w:val="center"/>
          </w:tcPr>
          <w:p w14:paraId="4812F0E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质量</w:t>
            </w:r>
          </w:p>
          <w:p w14:paraId="45C47267">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45" w:type="dxa"/>
            <w:noWrap w:val="0"/>
            <w:vAlign w:val="center"/>
          </w:tcPr>
          <w:p w14:paraId="686A28C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全市政治社会大局持续安全稳定</w:t>
            </w:r>
          </w:p>
        </w:tc>
        <w:tc>
          <w:tcPr>
            <w:tcW w:w="1194" w:type="dxa"/>
            <w:noWrap w:val="0"/>
            <w:vAlign w:val="center"/>
          </w:tcPr>
          <w:p w14:paraId="0783EF6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防范化解五</w:t>
            </w:r>
            <w:r>
              <w:rPr>
                <w:rFonts w:hint="eastAsia" w:ascii="宋体" w:hAnsi="宋体"/>
                <w:color w:val="000000"/>
                <w:kern w:val="0"/>
                <w:sz w:val="18"/>
                <w:szCs w:val="18"/>
                <w:lang w:eastAsia="zh-CN"/>
              </w:rPr>
              <w:t>大</w:t>
            </w:r>
            <w:r>
              <w:rPr>
                <w:rFonts w:hint="eastAsia" w:ascii="宋体" w:hAnsi="宋体"/>
                <w:color w:val="000000"/>
                <w:kern w:val="0"/>
                <w:sz w:val="18"/>
                <w:szCs w:val="18"/>
              </w:rPr>
              <w:t>风险</w:t>
            </w:r>
          </w:p>
        </w:tc>
        <w:tc>
          <w:tcPr>
            <w:tcW w:w="1414" w:type="dxa"/>
            <w:noWrap w:val="0"/>
            <w:vAlign w:val="center"/>
          </w:tcPr>
          <w:p w14:paraId="65CC16A1">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坚定不移贯彻总体国家安全观，</w:t>
            </w: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深入推进“五反”斗争，实现涉政涉邪敏感案事件零发生；坚持和发展新时代“枫桥经验”，健全完善矛盾纠纷多元预防调处化解机制，实现</w:t>
            </w:r>
            <w:r>
              <w:rPr>
                <w:rFonts w:hint="eastAsia" w:ascii="宋体" w:hAnsi="宋体"/>
                <w:color w:val="000000"/>
                <w:kern w:val="0"/>
                <w:sz w:val="18"/>
                <w:szCs w:val="18"/>
                <w:lang w:val="en-US" w:eastAsia="zh-CN"/>
              </w:rPr>
              <w:t>98%以上矛盾纠纷化解在镇村一线；加强社会治安防控体系建设，深化社会治安突出问题专项整治，组织开展严打突出违法犯罪系列专项行动，实现全市社会大局持续和谐稳定；牢固树立人民至上、生命至上理念，深入开展安全隐患大起底大排查大整治，实现重特大安全事故零发生；加强网络风险监测预警和防范化解，严格落实“三同步”要求，实现重大负面网络舆情事件零发生</w:t>
            </w:r>
          </w:p>
        </w:tc>
        <w:tc>
          <w:tcPr>
            <w:tcW w:w="2058" w:type="dxa"/>
            <w:gridSpan w:val="3"/>
            <w:noWrap w:val="0"/>
            <w:vAlign w:val="center"/>
          </w:tcPr>
          <w:p w14:paraId="364D0BE2">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无偏差</w:t>
            </w:r>
          </w:p>
        </w:tc>
      </w:tr>
      <w:tr w14:paraId="4979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4ABE42A6">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39E403D3">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422" w:type="dxa"/>
            <w:gridSpan w:val="2"/>
            <w:noWrap w:val="0"/>
            <w:vAlign w:val="center"/>
          </w:tcPr>
          <w:p w14:paraId="6B9A76D0">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时效</w:t>
            </w:r>
          </w:p>
          <w:p w14:paraId="16BF6D7E">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45" w:type="dxa"/>
            <w:noWrap w:val="0"/>
            <w:vAlign w:val="center"/>
          </w:tcPr>
          <w:p w14:paraId="07B2DA2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项目完成时间</w:t>
            </w:r>
          </w:p>
        </w:tc>
        <w:tc>
          <w:tcPr>
            <w:tcW w:w="1194" w:type="dxa"/>
            <w:noWrap w:val="0"/>
            <w:vAlign w:val="center"/>
          </w:tcPr>
          <w:p w14:paraId="36B665F6">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2023年</w:t>
            </w:r>
          </w:p>
        </w:tc>
        <w:tc>
          <w:tcPr>
            <w:tcW w:w="1414" w:type="dxa"/>
            <w:noWrap w:val="0"/>
            <w:vAlign w:val="center"/>
          </w:tcPr>
          <w:p w14:paraId="4EE98B8B">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2023年</w:t>
            </w:r>
          </w:p>
        </w:tc>
        <w:tc>
          <w:tcPr>
            <w:tcW w:w="2058" w:type="dxa"/>
            <w:gridSpan w:val="3"/>
            <w:noWrap w:val="0"/>
            <w:vAlign w:val="center"/>
          </w:tcPr>
          <w:p w14:paraId="6A132C6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无偏差</w:t>
            </w:r>
          </w:p>
        </w:tc>
      </w:tr>
      <w:tr w14:paraId="1E9D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23517228">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3860DA0C">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422" w:type="dxa"/>
            <w:gridSpan w:val="2"/>
            <w:noWrap w:val="0"/>
            <w:vAlign w:val="center"/>
          </w:tcPr>
          <w:p w14:paraId="19D37390">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成本</w:t>
            </w:r>
          </w:p>
          <w:p w14:paraId="0CCAED66">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45" w:type="dxa"/>
            <w:noWrap w:val="0"/>
            <w:vAlign w:val="center"/>
          </w:tcPr>
          <w:p w14:paraId="666F9353">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r>
              <w:rPr>
                <w:rFonts w:hint="eastAsia" w:ascii="宋体" w:hAnsi="宋体"/>
                <w:color w:val="000000"/>
                <w:kern w:val="0"/>
                <w:sz w:val="18"/>
                <w:szCs w:val="18"/>
              </w:rPr>
              <w:t>成本控制</w:t>
            </w:r>
          </w:p>
        </w:tc>
        <w:tc>
          <w:tcPr>
            <w:tcW w:w="1194" w:type="dxa"/>
            <w:noWrap w:val="0"/>
            <w:vAlign w:val="center"/>
          </w:tcPr>
          <w:p w14:paraId="594F6622">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预算</w:t>
            </w:r>
            <w:r>
              <w:rPr>
                <w:rFonts w:hint="eastAsia" w:ascii="宋体" w:hAnsi="宋体"/>
                <w:color w:val="000000"/>
                <w:kern w:val="0"/>
                <w:sz w:val="18"/>
                <w:szCs w:val="18"/>
                <w:lang w:val="en-US" w:eastAsia="zh-CN"/>
              </w:rPr>
              <w:t>7</w:t>
            </w:r>
            <w:r>
              <w:rPr>
                <w:rFonts w:hint="eastAsia" w:ascii="宋体" w:hAnsi="宋体"/>
                <w:color w:val="000000"/>
                <w:kern w:val="0"/>
                <w:sz w:val="18"/>
                <w:szCs w:val="18"/>
              </w:rPr>
              <w:t>0万元，支出</w:t>
            </w:r>
            <w:r>
              <w:rPr>
                <w:rFonts w:hint="eastAsia" w:ascii="宋体" w:hAnsi="宋体"/>
                <w:color w:val="000000"/>
                <w:kern w:val="0"/>
                <w:sz w:val="18"/>
                <w:szCs w:val="18"/>
                <w:lang w:val="en-US" w:eastAsia="zh-CN"/>
              </w:rPr>
              <w:t>7</w:t>
            </w:r>
            <w:r>
              <w:rPr>
                <w:rFonts w:hint="eastAsia" w:ascii="宋体" w:hAnsi="宋体"/>
                <w:color w:val="000000"/>
                <w:kern w:val="0"/>
                <w:sz w:val="18"/>
                <w:szCs w:val="18"/>
              </w:rPr>
              <w:t>0万</w:t>
            </w:r>
          </w:p>
        </w:tc>
        <w:tc>
          <w:tcPr>
            <w:tcW w:w="1414" w:type="dxa"/>
            <w:noWrap w:val="0"/>
            <w:vAlign w:val="center"/>
          </w:tcPr>
          <w:p w14:paraId="3D162C77">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控制率100%</w:t>
            </w:r>
          </w:p>
        </w:tc>
        <w:tc>
          <w:tcPr>
            <w:tcW w:w="2058" w:type="dxa"/>
            <w:gridSpan w:val="3"/>
            <w:noWrap w:val="0"/>
            <w:vAlign w:val="center"/>
          </w:tcPr>
          <w:p w14:paraId="29A3155E">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rPr>
              <w:t>无偏差</w:t>
            </w:r>
          </w:p>
        </w:tc>
      </w:tr>
      <w:tr w14:paraId="2A52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14EC4857">
            <w:pPr>
              <w:keepNext w:val="0"/>
              <w:keepLines w:val="0"/>
              <w:pageBreakBefore w:val="0"/>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773F9E52">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1422" w:type="dxa"/>
            <w:gridSpan w:val="2"/>
            <w:noWrap w:val="0"/>
            <w:vAlign w:val="center"/>
          </w:tcPr>
          <w:p w14:paraId="17A590B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社会效益指标</w:t>
            </w:r>
          </w:p>
        </w:tc>
        <w:tc>
          <w:tcPr>
            <w:tcW w:w="1145" w:type="dxa"/>
            <w:noWrap w:val="0"/>
            <w:vAlign w:val="center"/>
          </w:tcPr>
          <w:p w14:paraId="20510308">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olor w:val="000000"/>
                <w:kern w:val="0"/>
                <w:sz w:val="18"/>
                <w:szCs w:val="18"/>
                <w:lang w:eastAsia="zh-CN"/>
              </w:rPr>
            </w:pPr>
            <w:r>
              <w:rPr>
                <w:rFonts w:hint="eastAsia" w:ascii="宋体" w:hAnsi="宋体"/>
                <w:color w:val="000000"/>
                <w:kern w:val="0"/>
                <w:sz w:val="18"/>
                <w:szCs w:val="18"/>
              </w:rPr>
              <w:t>服务保障经济社会</w:t>
            </w:r>
            <w:r>
              <w:rPr>
                <w:rFonts w:hint="eastAsia" w:ascii="宋体" w:hAnsi="宋体"/>
                <w:color w:val="000000"/>
                <w:kern w:val="0"/>
                <w:sz w:val="18"/>
                <w:szCs w:val="18"/>
                <w:lang w:eastAsia="zh-CN"/>
              </w:rPr>
              <w:t>高质量发展</w:t>
            </w:r>
          </w:p>
        </w:tc>
        <w:tc>
          <w:tcPr>
            <w:tcW w:w="1194" w:type="dxa"/>
            <w:noWrap w:val="0"/>
            <w:vAlign w:val="center"/>
          </w:tcPr>
          <w:p w14:paraId="54A3833B">
            <w:pPr>
              <w:keepNext w:val="0"/>
              <w:keepLines w:val="0"/>
              <w:pageBreakBefore w:val="0"/>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为全市</w:t>
            </w:r>
            <w:r>
              <w:rPr>
                <w:rFonts w:hint="eastAsia" w:ascii="宋体" w:hAnsi="宋体"/>
                <w:color w:val="000000"/>
                <w:kern w:val="0"/>
                <w:sz w:val="18"/>
                <w:szCs w:val="18"/>
                <w:lang w:eastAsia="zh-CN"/>
              </w:rPr>
              <w:t>经济社会</w:t>
            </w:r>
            <w:r>
              <w:rPr>
                <w:rFonts w:hint="eastAsia" w:ascii="宋体" w:hAnsi="宋体"/>
                <w:color w:val="000000"/>
                <w:kern w:val="0"/>
                <w:sz w:val="18"/>
                <w:szCs w:val="18"/>
              </w:rPr>
              <w:t>高质量发展提供</w:t>
            </w:r>
            <w:r>
              <w:rPr>
                <w:rFonts w:hint="eastAsia" w:ascii="宋体" w:hAnsi="宋体"/>
                <w:color w:val="000000"/>
                <w:kern w:val="0"/>
                <w:sz w:val="18"/>
                <w:szCs w:val="18"/>
                <w:lang w:eastAsia="zh-CN"/>
              </w:rPr>
              <w:t>有力</w:t>
            </w:r>
            <w:r>
              <w:rPr>
                <w:rFonts w:hint="eastAsia" w:ascii="宋体" w:hAnsi="宋体"/>
                <w:color w:val="000000"/>
                <w:kern w:val="0"/>
                <w:sz w:val="18"/>
                <w:szCs w:val="18"/>
              </w:rPr>
              <w:t>法治保障</w:t>
            </w:r>
          </w:p>
        </w:tc>
        <w:tc>
          <w:tcPr>
            <w:tcW w:w="1414" w:type="dxa"/>
            <w:noWrap w:val="0"/>
            <w:vAlign w:val="center"/>
          </w:tcPr>
          <w:p w14:paraId="65D0E753">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ascii="宋体" w:hAnsi="宋体"/>
                <w:color w:val="000000"/>
                <w:kern w:val="0"/>
                <w:sz w:val="18"/>
                <w:szCs w:val="18"/>
              </w:rPr>
            </w:pPr>
            <w:r>
              <w:rPr>
                <w:rFonts w:hint="eastAsia" w:ascii="宋体" w:hAnsi="宋体"/>
                <w:color w:val="000000"/>
                <w:kern w:val="0"/>
                <w:sz w:val="18"/>
                <w:szCs w:val="18"/>
              </w:rPr>
              <w:t>部署开展“政法护企行”活动，健全挂联帮扶企业制度，跨行政区域企业投诉处理机制入选《四川法治蓝皮书（2023）》，司法护航柠檬产业发展入选四川优化营商环境经验汇编</w:t>
            </w:r>
            <w:r>
              <w:rPr>
                <w:rFonts w:hint="eastAsia" w:ascii="宋体" w:hAnsi="宋体"/>
                <w:color w:val="000000"/>
                <w:kern w:val="0"/>
                <w:sz w:val="18"/>
                <w:szCs w:val="18"/>
                <w:lang w:eastAsia="zh-CN"/>
              </w:rPr>
              <w:t>；</w:t>
            </w:r>
            <w:r>
              <w:rPr>
                <w:rFonts w:hint="eastAsia" w:ascii="宋体" w:hAnsi="宋体"/>
                <w:color w:val="000000"/>
                <w:kern w:val="0"/>
                <w:sz w:val="18"/>
                <w:szCs w:val="18"/>
              </w:rPr>
              <w:t>扎实开展政法系统服务保障高质量发展中存在问题专项整治，建立完善法治化营商环境制度机制12项，群众对行政执法突出问题整治满意率达99%</w:t>
            </w:r>
          </w:p>
        </w:tc>
        <w:tc>
          <w:tcPr>
            <w:tcW w:w="2058" w:type="dxa"/>
            <w:gridSpan w:val="3"/>
            <w:noWrap w:val="0"/>
            <w:vAlign w:val="center"/>
          </w:tcPr>
          <w:p w14:paraId="48DED08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kern w:val="0"/>
                <w:sz w:val="18"/>
                <w:szCs w:val="18"/>
              </w:rPr>
            </w:pPr>
            <w:r>
              <w:rPr>
                <w:rFonts w:hint="eastAsia" w:ascii="宋体" w:hAnsi="宋体"/>
                <w:color w:val="000000"/>
                <w:kern w:val="0"/>
                <w:sz w:val="18"/>
                <w:szCs w:val="18"/>
              </w:rPr>
              <w:t>无偏差</w:t>
            </w:r>
          </w:p>
        </w:tc>
      </w:tr>
      <w:tr w14:paraId="2ED4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90" w:type="dxa"/>
            <w:vMerge w:val="continue"/>
            <w:noWrap w:val="0"/>
            <w:vAlign w:val="center"/>
          </w:tcPr>
          <w:p w14:paraId="10CFE4F9">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kern w:val="0"/>
                <w:sz w:val="18"/>
                <w:szCs w:val="18"/>
              </w:rPr>
            </w:pPr>
          </w:p>
        </w:tc>
        <w:tc>
          <w:tcPr>
            <w:tcW w:w="847" w:type="dxa"/>
            <w:noWrap w:val="0"/>
            <w:vAlign w:val="center"/>
          </w:tcPr>
          <w:p w14:paraId="53929A81">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满意度</w:t>
            </w:r>
          </w:p>
          <w:p w14:paraId="36077643">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422" w:type="dxa"/>
            <w:gridSpan w:val="2"/>
            <w:noWrap w:val="0"/>
            <w:vAlign w:val="center"/>
          </w:tcPr>
          <w:p w14:paraId="49BA9CDD">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满意度指标</w:t>
            </w:r>
          </w:p>
        </w:tc>
        <w:tc>
          <w:tcPr>
            <w:tcW w:w="1145" w:type="dxa"/>
            <w:noWrap w:val="0"/>
            <w:vAlign w:val="center"/>
          </w:tcPr>
          <w:p w14:paraId="5C83A7B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olor w:val="FF0000"/>
                <w:kern w:val="0"/>
                <w:sz w:val="18"/>
                <w:szCs w:val="18"/>
                <w:lang w:eastAsia="zh-CN"/>
              </w:rPr>
            </w:pPr>
            <w:r>
              <w:rPr>
                <w:rFonts w:hint="eastAsia" w:ascii="宋体" w:hAnsi="宋体"/>
                <w:color w:val="auto"/>
                <w:kern w:val="0"/>
                <w:sz w:val="18"/>
                <w:szCs w:val="18"/>
                <w:lang w:eastAsia="zh-CN"/>
              </w:rPr>
              <w:t>群众平安建设满意度测评</w:t>
            </w:r>
          </w:p>
        </w:tc>
        <w:tc>
          <w:tcPr>
            <w:tcW w:w="1194" w:type="dxa"/>
            <w:noWrap w:val="0"/>
            <w:vAlign w:val="center"/>
          </w:tcPr>
          <w:p w14:paraId="092A12CC">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olor w:val="FF0000"/>
                <w:kern w:val="0"/>
                <w:sz w:val="18"/>
                <w:szCs w:val="18"/>
                <w:lang w:val="en-US" w:eastAsia="zh-CN"/>
              </w:rPr>
            </w:pPr>
            <w:r>
              <w:rPr>
                <w:rFonts w:hint="eastAsia" w:ascii="宋体" w:hAnsi="宋体"/>
                <w:color w:val="auto"/>
                <w:kern w:val="0"/>
                <w:sz w:val="18"/>
                <w:szCs w:val="18"/>
                <w:lang w:eastAsia="zh-CN"/>
              </w:rPr>
              <w:t>群众测评满意度达</w:t>
            </w:r>
            <w:r>
              <w:rPr>
                <w:rFonts w:hint="eastAsia" w:ascii="宋体" w:hAnsi="宋体"/>
                <w:color w:val="auto"/>
                <w:kern w:val="0"/>
                <w:sz w:val="18"/>
                <w:szCs w:val="18"/>
                <w:lang w:val="en-US" w:eastAsia="zh-CN"/>
              </w:rPr>
              <w:t>85%以上</w:t>
            </w:r>
          </w:p>
        </w:tc>
        <w:tc>
          <w:tcPr>
            <w:tcW w:w="1414" w:type="dxa"/>
            <w:noWrap w:val="0"/>
            <w:vAlign w:val="center"/>
          </w:tcPr>
          <w:p w14:paraId="78F5A371">
            <w:pPr>
              <w:keepNext w:val="0"/>
              <w:keepLines w:val="0"/>
              <w:pageBreakBefore w:val="0"/>
              <w:widowControl/>
              <w:kinsoku/>
              <w:wordWrap/>
              <w:overflowPunct/>
              <w:topLinePunct w:val="0"/>
              <w:autoSpaceDE/>
              <w:autoSpaceDN/>
              <w:bidi w:val="0"/>
              <w:spacing w:line="360" w:lineRule="exact"/>
              <w:jc w:val="both"/>
              <w:textAlignment w:val="auto"/>
              <w:rPr>
                <w:rFonts w:hint="default" w:ascii="宋体" w:hAnsi="宋体" w:eastAsia="宋体"/>
                <w:color w:val="FF0000"/>
                <w:kern w:val="0"/>
                <w:sz w:val="18"/>
                <w:szCs w:val="18"/>
                <w:lang w:val="en-US" w:eastAsia="zh-CN"/>
              </w:rPr>
            </w:pPr>
            <w:r>
              <w:rPr>
                <w:rFonts w:hint="eastAsia" w:ascii="宋体" w:hAnsi="宋体" w:eastAsia="宋体" w:cs="Times New Roman"/>
                <w:color w:val="000000"/>
                <w:kern w:val="0"/>
                <w:sz w:val="18"/>
                <w:szCs w:val="18"/>
                <w:lang w:val="en-US" w:eastAsia="zh-CN"/>
              </w:rPr>
              <w:t>我市平安建设群众满意度测评连续三年攀升，群众满意度达90%以上</w:t>
            </w:r>
          </w:p>
        </w:tc>
        <w:tc>
          <w:tcPr>
            <w:tcW w:w="2058" w:type="dxa"/>
            <w:gridSpan w:val="3"/>
            <w:noWrap w:val="0"/>
            <w:vAlign w:val="center"/>
          </w:tcPr>
          <w:p w14:paraId="1A79815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无偏差</w:t>
            </w:r>
          </w:p>
        </w:tc>
      </w:tr>
    </w:tbl>
    <w:p w14:paraId="2A5FAA64">
      <w:pPr>
        <w:spacing w:line="360" w:lineRule="auto"/>
        <w:jc w:val="left"/>
        <w:rPr>
          <w:rFonts w:ascii="宋体" w:hAnsi="宋体" w:eastAsia="方正黑体简体"/>
          <w:sz w:val="32"/>
          <w:szCs w:val="32"/>
        </w:rPr>
      </w:pPr>
    </w:p>
    <w:p w14:paraId="1D24E4F7">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宋体" w:hAnsi="宋体" w:eastAsia="方正小标宋简体" w:cs="方正小标宋简体"/>
          <w:color w:val="000000"/>
          <w:spacing w:val="-12"/>
          <w:kern w:val="0"/>
          <w:sz w:val="44"/>
          <w:szCs w:val="44"/>
        </w:rPr>
      </w:pPr>
    </w:p>
    <w:p w14:paraId="56D0164B">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宋体" w:hAnsi="宋体" w:eastAsia="方正小标宋简体" w:cs="方正小标宋简体"/>
          <w:color w:val="000000"/>
          <w:spacing w:val="-12"/>
          <w:kern w:val="0"/>
          <w:sz w:val="44"/>
          <w:szCs w:val="44"/>
        </w:rPr>
      </w:pPr>
    </w:p>
    <w:p w14:paraId="3A626547">
      <w:pPr>
        <w:keepNext w:val="0"/>
        <w:keepLines w:val="0"/>
        <w:pageBreakBefore w:val="0"/>
        <w:widowControl w:val="0"/>
        <w:kinsoku/>
        <w:wordWrap/>
        <w:overflowPunct/>
        <w:topLinePunct w:val="0"/>
        <w:autoSpaceDE/>
        <w:autoSpaceDN/>
        <w:bidi w:val="0"/>
        <w:snapToGrid/>
        <w:spacing w:line="600" w:lineRule="exact"/>
        <w:jc w:val="left"/>
        <w:textAlignment w:val="auto"/>
        <w:rPr>
          <w:rFonts w:hint="eastAsia" w:ascii="方正黑体_GBK" w:hAnsi="方正黑体_GBK" w:eastAsia="方正黑体_GBK" w:cs="方正黑体_GBK"/>
          <w:b w:val="0"/>
          <w:bCs w:val="0"/>
          <w:color w:val="000000"/>
          <w:spacing w:val="-12"/>
          <w:kern w:val="0"/>
          <w:sz w:val="32"/>
          <w:szCs w:val="32"/>
          <w:lang w:val="en-US" w:eastAsia="zh-CN"/>
        </w:rPr>
      </w:pPr>
      <w:r>
        <w:rPr>
          <w:rFonts w:hint="eastAsia" w:ascii="方正黑体_GBK" w:hAnsi="方正黑体_GBK" w:eastAsia="方正黑体_GBK" w:cs="方正黑体_GBK"/>
          <w:b w:val="0"/>
          <w:bCs w:val="0"/>
          <w:color w:val="000000"/>
          <w:spacing w:val="-12"/>
          <w:kern w:val="0"/>
          <w:sz w:val="32"/>
          <w:szCs w:val="32"/>
          <w:lang w:eastAsia="zh-CN"/>
        </w:rPr>
        <w:t>附件</w:t>
      </w:r>
      <w:r>
        <w:rPr>
          <w:rFonts w:hint="eastAsia" w:ascii="方正黑体_GBK" w:hAnsi="方正黑体_GBK" w:eastAsia="方正黑体_GBK" w:cs="方正黑体_GBK"/>
          <w:b w:val="0"/>
          <w:bCs w:val="0"/>
          <w:color w:val="000000"/>
          <w:spacing w:val="-12"/>
          <w:kern w:val="0"/>
          <w:sz w:val="32"/>
          <w:szCs w:val="32"/>
          <w:lang w:val="en-US" w:eastAsia="zh-CN"/>
        </w:rPr>
        <w:t>4</w:t>
      </w:r>
    </w:p>
    <w:p w14:paraId="36C492C0">
      <w:pPr>
        <w:pStyle w:val="2"/>
        <w:rPr>
          <w:rFonts w:hint="eastAsia"/>
          <w:lang w:val="en-US" w:eastAsia="zh-CN"/>
        </w:rPr>
      </w:pPr>
    </w:p>
    <w:p w14:paraId="31F8F7D8">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宋体" w:hAnsi="宋体" w:eastAsia="方正小标宋简体" w:cs="方正小标宋简体"/>
          <w:color w:val="000000"/>
          <w:spacing w:val="-12"/>
          <w:kern w:val="0"/>
          <w:sz w:val="44"/>
          <w:szCs w:val="44"/>
        </w:rPr>
      </w:pPr>
      <w:r>
        <w:rPr>
          <w:rFonts w:hint="eastAsia" w:ascii="宋体" w:hAnsi="宋体" w:eastAsia="方正小标宋简体" w:cs="方正小标宋简体"/>
          <w:color w:val="000000"/>
          <w:spacing w:val="-12"/>
          <w:kern w:val="0"/>
          <w:sz w:val="44"/>
          <w:szCs w:val="44"/>
        </w:rPr>
        <w:t>202</w:t>
      </w:r>
      <w:r>
        <w:rPr>
          <w:rFonts w:hint="eastAsia" w:ascii="宋体" w:hAnsi="宋体" w:eastAsia="方正小标宋简体" w:cs="方正小标宋简体"/>
          <w:color w:val="000000"/>
          <w:spacing w:val="-12"/>
          <w:kern w:val="0"/>
          <w:sz w:val="44"/>
          <w:szCs w:val="44"/>
          <w:lang w:val="en-US" w:eastAsia="zh-CN"/>
        </w:rPr>
        <w:t>3</w:t>
      </w:r>
      <w:r>
        <w:rPr>
          <w:rFonts w:hint="eastAsia" w:ascii="宋体" w:hAnsi="宋体" w:eastAsia="方正小标宋简体" w:cs="方正小标宋简体"/>
          <w:color w:val="000000"/>
          <w:spacing w:val="-12"/>
          <w:kern w:val="0"/>
          <w:sz w:val="44"/>
          <w:szCs w:val="44"/>
        </w:rPr>
        <w:t>年市级项目支出绩效自评报告</w:t>
      </w:r>
    </w:p>
    <w:p w14:paraId="31056D16">
      <w:pPr>
        <w:keepNext w:val="0"/>
        <w:keepLines w:val="0"/>
        <w:pageBreakBefore w:val="0"/>
        <w:widowControl w:val="0"/>
        <w:kinsoku/>
        <w:wordWrap/>
        <w:overflowPunct/>
        <w:topLinePunct w:val="0"/>
        <w:autoSpaceDE/>
        <w:autoSpaceDN/>
        <w:bidi w:val="0"/>
        <w:snapToGrid/>
        <w:spacing w:line="600" w:lineRule="exact"/>
        <w:jc w:val="center"/>
        <w:textAlignment w:val="auto"/>
        <w:rPr>
          <w:rFonts w:ascii="宋体" w:hAnsi="宋体" w:eastAsia="方正楷体简体"/>
          <w:b/>
          <w:sz w:val="32"/>
          <w:szCs w:val="32"/>
        </w:rPr>
      </w:pPr>
      <w:r>
        <w:rPr>
          <w:rFonts w:ascii="宋体" w:hAnsi="宋体" w:eastAsia="方正楷体简体"/>
          <w:b/>
          <w:sz w:val="32"/>
          <w:szCs w:val="32"/>
        </w:rPr>
        <w:t>（</w:t>
      </w:r>
      <w:r>
        <w:rPr>
          <w:rFonts w:hint="eastAsia" w:ascii="宋体" w:hAnsi="宋体" w:eastAsia="方正楷体简体"/>
          <w:b/>
          <w:sz w:val="32"/>
          <w:szCs w:val="32"/>
        </w:rPr>
        <w:t>扫黑除恶专项工作经费</w:t>
      </w:r>
      <w:r>
        <w:rPr>
          <w:rFonts w:ascii="宋体" w:hAnsi="宋体" w:eastAsia="方正楷体简体"/>
          <w:b/>
          <w:sz w:val="32"/>
          <w:szCs w:val="32"/>
        </w:rPr>
        <w:t>）</w:t>
      </w:r>
    </w:p>
    <w:p w14:paraId="7200E17C">
      <w:pPr>
        <w:pStyle w:val="2"/>
        <w:keepNext w:val="0"/>
        <w:keepLines w:val="0"/>
        <w:pageBreakBefore w:val="0"/>
        <w:widowControl w:val="0"/>
        <w:kinsoku/>
        <w:wordWrap/>
        <w:overflowPunct/>
        <w:topLinePunct w:val="0"/>
        <w:autoSpaceDE/>
        <w:autoSpaceDN/>
        <w:bidi w:val="0"/>
        <w:snapToGrid/>
        <w:spacing w:after="0" w:line="620" w:lineRule="exact"/>
        <w:textAlignment w:val="auto"/>
        <w:rPr>
          <w:rFonts w:ascii="宋体" w:hAnsi="宋体" w:eastAsia="方正仿宋简体"/>
          <w:sz w:val="32"/>
          <w:szCs w:val="32"/>
        </w:rPr>
      </w:pPr>
    </w:p>
    <w:p w14:paraId="27339523">
      <w:pPr>
        <w:keepNext w:val="0"/>
        <w:keepLines w:val="0"/>
        <w:pageBreakBefore w:val="0"/>
        <w:widowControl w:val="0"/>
        <w:kinsoku/>
        <w:wordWrap/>
        <w:overflowPunct/>
        <w:topLinePunct w:val="0"/>
        <w:autoSpaceDE/>
        <w:autoSpaceDN/>
        <w:bidi w:val="0"/>
        <w:snapToGrid/>
        <w:spacing w:line="620" w:lineRule="exact"/>
        <w:ind w:firstLine="640" w:firstLineChars="200"/>
        <w:textAlignment w:val="auto"/>
        <w:rPr>
          <w:rFonts w:ascii="宋体" w:hAnsi="宋体" w:eastAsia="方正黑体简体"/>
          <w:sz w:val="32"/>
          <w:szCs w:val="32"/>
        </w:rPr>
      </w:pPr>
      <w:r>
        <w:rPr>
          <w:rFonts w:ascii="宋体" w:hAnsi="宋体" w:eastAsia="方正黑体简体"/>
          <w:sz w:val="32"/>
          <w:szCs w:val="32"/>
        </w:rPr>
        <w:t>一、项目基本情况</w:t>
      </w:r>
    </w:p>
    <w:p w14:paraId="7BCBD387">
      <w:pPr>
        <w:pStyle w:val="2"/>
        <w:keepNext w:val="0"/>
        <w:keepLines w:val="0"/>
        <w:pageBreakBefore w:val="0"/>
        <w:widowControl w:val="0"/>
        <w:kinsoku/>
        <w:wordWrap/>
        <w:overflowPunct/>
        <w:topLinePunct w:val="0"/>
        <w:autoSpaceDE/>
        <w:autoSpaceDN/>
        <w:bidi w:val="0"/>
        <w:snapToGrid/>
        <w:spacing w:after="0" w:line="620" w:lineRule="exact"/>
        <w:ind w:firstLine="630" w:firstLineChars="196"/>
        <w:textAlignment w:val="auto"/>
        <w:rPr>
          <w:rFonts w:ascii="宋体" w:hAnsi="宋体" w:eastAsia="方正楷体简体"/>
          <w:b/>
          <w:sz w:val="32"/>
          <w:szCs w:val="32"/>
        </w:rPr>
      </w:pPr>
      <w:r>
        <w:rPr>
          <w:rFonts w:ascii="宋体" w:hAnsi="宋体" w:eastAsia="方正楷体简体"/>
          <w:b/>
          <w:sz w:val="32"/>
          <w:szCs w:val="32"/>
        </w:rPr>
        <w:t>（一）概况</w:t>
      </w:r>
    </w:p>
    <w:p w14:paraId="351F6F68">
      <w:pPr>
        <w:pStyle w:val="2"/>
        <w:keepNext w:val="0"/>
        <w:keepLines w:val="0"/>
        <w:pageBreakBefore w:val="0"/>
        <w:widowControl w:val="0"/>
        <w:kinsoku/>
        <w:wordWrap/>
        <w:overflowPunct/>
        <w:topLinePunct w:val="0"/>
        <w:autoSpaceDE/>
        <w:autoSpaceDN/>
        <w:bidi w:val="0"/>
        <w:snapToGrid/>
        <w:spacing w:after="0" w:line="620" w:lineRule="exact"/>
        <w:ind w:firstLine="630" w:firstLineChars="196"/>
        <w:textAlignment w:val="auto"/>
        <w:rPr>
          <w:rFonts w:ascii="宋体" w:hAnsi="宋体" w:eastAsia="方正仿宋简体"/>
          <w:b/>
          <w:sz w:val="32"/>
          <w:szCs w:val="32"/>
        </w:rPr>
      </w:pPr>
      <w:r>
        <w:rPr>
          <w:rFonts w:ascii="宋体" w:hAnsi="宋体" w:eastAsia="方正仿宋简体"/>
          <w:b/>
          <w:sz w:val="32"/>
          <w:szCs w:val="32"/>
        </w:rPr>
        <w:t>1．立项背景及目的</w:t>
      </w:r>
    </w:p>
    <w:p w14:paraId="05A8938D">
      <w:pPr>
        <w:keepNext w:val="0"/>
        <w:keepLines w:val="0"/>
        <w:pageBreakBefore w:val="0"/>
        <w:widowControl w:val="0"/>
        <w:numPr>
          <w:ilvl w:val="0"/>
          <w:numId w:val="0"/>
        </w:numPr>
        <w:kinsoku/>
        <w:wordWrap/>
        <w:overflowPunct/>
        <w:topLinePunct w:val="0"/>
        <w:autoSpaceDE/>
        <w:autoSpaceDN/>
        <w:bidi w:val="0"/>
        <w:snapToGrid/>
        <w:spacing w:line="600" w:lineRule="exact"/>
        <w:ind w:firstLine="660" w:firstLineChars="200"/>
        <w:textAlignment w:val="auto"/>
        <w:rPr>
          <w:rFonts w:hint="eastAsia" w:ascii="宋体" w:hAnsi="宋体" w:eastAsia="仿宋_GB2312" w:cs="仿宋_GB2312"/>
          <w:color w:val="000000"/>
          <w:kern w:val="2"/>
          <w:sz w:val="33"/>
          <w:szCs w:val="33"/>
          <w:lang w:val="en-US" w:eastAsia="zh-CN" w:bidi="ar-SA"/>
        </w:rPr>
      </w:pPr>
      <w:r>
        <w:rPr>
          <w:rFonts w:hint="eastAsia" w:ascii="宋体" w:hAnsi="宋体" w:eastAsia="仿宋_GB2312" w:cs="仿宋_GB2312"/>
          <w:color w:val="000000"/>
          <w:kern w:val="2"/>
          <w:sz w:val="33"/>
          <w:szCs w:val="33"/>
          <w:lang w:val="en-US" w:eastAsia="zh-CN" w:bidi="ar-SA"/>
        </w:rPr>
        <w:t>按照中央、省委和市委关于常态化扫黑除恶斗争的部署安排，202</w:t>
      </w:r>
      <w:r>
        <w:rPr>
          <w:rFonts w:hint="default" w:ascii="宋体" w:hAnsi="宋体" w:eastAsia="仿宋_GB2312" w:cs="仿宋_GB2312"/>
          <w:color w:val="000000"/>
          <w:kern w:val="2"/>
          <w:sz w:val="33"/>
          <w:szCs w:val="33"/>
          <w:lang w:val="en" w:eastAsia="zh-CN" w:bidi="ar-SA"/>
        </w:rPr>
        <w:t>3</w:t>
      </w:r>
      <w:r>
        <w:rPr>
          <w:rFonts w:hint="eastAsia" w:ascii="宋体" w:hAnsi="宋体" w:eastAsia="仿宋_GB2312" w:cs="仿宋_GB2312"/>
          <w:color w:val="000000"/>
          <w:kern w:val="2"/>
          <w:sz w:val="33"/>
          <w:szCs w:val="33"/>
          <w:lang w:val="en-US" w:eastAsia="zh-CN" w:bidi="ar-SA"/>
        </w:rPr>
        <w:t>年我市为常态化扫黑除恶斗争攻坚突破年。全市各地各有关部门以确保成都“大运会”安全为首要政治任务，坚持以习近平新时代中国特色社会主义思想为引领，深入贯彻习近平总书记关于扫黑除恶斗争系列指示批示精神，持续深入宣传贯彻《反有组织犯罪法》，不断强化线索核查，着力依法打击和“打伞破网”“打财断血”一体推进，狠抓交通运输、教育等重点行业领域乱点乱象整治，注重村（社区）软弱涣散组织排查整治，夯实基层基础。坚持扫黑除恶斗争领导小组统筹领导、扫黑办牵头抓总、“四组一中心”各司其职、成员单位具体落实的常态化扫黑除恶斗争运行机制，坚决将中央、省委和市委决策部署落地落实，强力推动常态化扫黑除恶斗争再上新台阶。</w:t>
      </w:r>
    </w:p>
    <w:p w14:paraId="0176FFA4">
      <w:pPr>
        <w:pStyle w:val="2"/>
        <w:keepNext w:val="0"/>
        <w:keepLines w:val="0"/>
        <w:pageBreakBefore w:val="0"/>
        <w:widowControl w:val="0"/>
        <w:kinsoku/>
        <w:wordWrap/>
        <w:overflowPunct/>
        <w:topLinePunct w:val="0"/>
        <w:autoSpaceDE/>
        <w:autoSpaceDN/>
        <w:bidi w:val="0"/>
        <w:snapToGrid/>
        <w:spacing w:after="0" w:line="620" w:lineRule="exact"/>
        <w:ind w:firstLine="643" w:firstLineChars="200"/>
        <w:textAlignment w:val="auto"/>
        <w:rPr>
          <w:rFonts w:ascii="宋体" w:hAnsi="宋体"/>
        </w:rPr>
      </w:pPr>
      <w:r>
        <w:rPr>
          <w:rFonts w:hint="eastAsia" w:ascii="宋体" w:hAnsi="宋体" w:eastAsia="方正仿宋简体"/>
          <w:b/>
          <w:sz w:val="32"/>
          <w:szCs w:val="32"/>
          <w:lang w:val="en-US" w:eastAsia="zh-CN"/>
        </w:rPr>
        <w:t>2.</w:t>
      </w:r>
      <w:r>
        <w:rPr>
          <w:rFonts w:ascii="宋体" w:hAnsi="宋体" w:eastAsia="方正仿宋简体"/>
          <w:b/>
          <w:sz w:val="32"/>
          <w:szCs w:val="32"/>
        </w:rPr>
        <w:t>预算资金来源及使用情况</w:t>
      </w:r>
    </w:p>
    <w:p w14:paraId="110FF055">
      <w:pPr>
        <w:pStyle w:val="2"/>
        <w:keepNext w:val="0"/>
        <w:keepLines w:val="0"/>
        <w:pageBreakBefore w:val="0"/>
        <w:widowControl w:val="0"/>
        <w:kinsoku/>
        <w:wordWrap/>
        <w:overflowPunct/>
        <w:topLinePunct w:val="0"/>
        <w:autoSpaceDE/>
        <w:autoSpaceDN/>
        <w:bidi w:val="0"/>
        <w:snapToGrid/>
        <w:spacing w:after="0" w:line="620" w:lineRule="exact"/>
        <w:ind w:firstLine="660" w:firstLineChars="200"/>
        <w:textAlignment w:val="auto"/>
        <w:rPr>
          <w:rFonts w:hint="eastAsia" w:ascii="宋体" w:hAnsi="宋体" w:eastAsia="仿宋_GB2312" w:cs="仿宋_GB2312"/>
          <w:sz w:val="33"/>
          <w:szCs w:val="33"/>
          <w:lang w:val="en-US" w:eastAsia="zh-CN"/>
        </w:rPr>
      </w:pPr>
      <w:r>
        <w:rPr>
          <w:rFonts w:hint="eastAsia" w:ascii="宋体" w:hAnsi="宋体" w:eastAsia="仿宋_GB2312" w:cs="仿宋_GB2312"/>
          <w:sz w:val="33"/>
          <w:szCs w:val="33"/>
          <w:lang w:val="en-US" w:eastAsia="zh-CN"/>
        </w:rPr>
        <w:t>2023年预算安排扫黑除恶斗争常态化工作经费20万元，全部为财政拨款，项目资金到位18万元，到位率90%，实际支出18万元。</w:t>
      </w:r>
    </w:p>
    <w:p w14:paraId="1FE48BA4">
      <w:pPr>
        <w:keepNext w:val="0"/>
        <w:keepLines w:val="0"/>
        <w:pageBreakBefore w:val="0"/>
        <w:widowControl w:val="0"/>
        <w:numPr>
          <w:ilvl w:val="0"/>
          <w:numId w:val="4"/>
        </w:numPr>
        <w:kinsoku/>
        <w:wordWrap/>
        <w:overflowPunct/>
        <w:topLinePunct w:val="0"/>
        <w:autoSpaceDE/>
        <w:autoSpaceDN/>
        <w:bidi w:val="0"/>
        <w:adjustRightInd w:val="0"/>
        <w:snapToGrid/>
        <w:spacing w:line="590" w:lineRule="exact"/>
        <w:ind w:firstLine="643" w:firstLineChars="200"/>
        <w:textAlignment w:val="auto"/>
        <w:rPr>
          <w:rFonts w:ascii="宋体" w:hAnsi="宋体" w:eastAsia="方正仿宋简体"/>
          <w:b/>
          <w:sz w:val="32"/>
          <w:szCs w:val="32"/>
        </w:rPr>
      </w:pPr>
      <w:r>
        <w:rPr>
          <w:rFonts w:ascii="宋体" w:hAnsi="宋体" w:eastAsia="方正仿宋简体"/>
          <w:b/>
          <w:sz w:val="32"/>
          <w:szCs w:val="32"/>
        </w:rPr>
        <w:t>实施情况（项目完成情况）</w:t>
      </w:r>
    </w:p>
    <w:p w14:paraId="46B28956">
      <w:pPr>
        <w:keepNext w:val="0"/>
        <w:keepLines w:val="0"/>
        <w:pageBreakBefore w:val="0"/>
        <w:widowControl w:val="0"/>
        <w:numPr>
          <w:ilvl w:val="0"/>
          <w:numId w:val="0"/>
        </w:numPr>
        <w:kinsoku/>
        <w:wordWrap/>
        <w:overflowPunct/>
        <w:topLinePunct w:val="0"/>
        <w:autoSpaceDE/>
        <w:autoSpaceDN/>
        <w:bidi w:val="0"/>
        <w:snapToGrid/>
        <w:spacing w:line="600" w:lineRule="exact"/>
        <w:ind w:firstLine="660" w:firstLineChars="200"/>
        <w:textAlignment w:val="auto"/>
        <w:rPr>
          <w:rFonts w:hint="default" w:ascii="宋体" w:hAnsi="宋体" w:eastAsia="仿宋_GB2312" w:cs="仿宋_GB2312"/>
          <w:color w:val="auto"/>
          <w:kern w:val="2"/>
          <w:sz w:val="33"/>
          <w:szCs w:val="33"/>
          <w:lang w:val="en-US" w:eastAsia="zh-CN" w:bidi="ar-SA"/>
        </w:rPr>
      </w:pPr>
      <w:r>
        <w:rPr>
          <w:rFonts w:hint="eastAsia" w:ascii="宋体" w:hAnsi="宋体" w:eastAsia="仿宋_GB2312" w:cs="仿宋_GB2312"/>
          <w:color w:val="auto"/>
          <w:kern w:val="2"/>
          <w:sz w:val="33"/>
          <w:szCs w:val="33"/>
          <w:lang w:val="en-US" w:eastAsia="zh-CN" w:bidi="ar-SA"/>
        </w:rPr>
        <w:t>一是及时制发2023年工作要点，及时召开全市扫黑除恶斗争工作推进会，对全市2023年扫黑除恶工作作出部署安排。全年召开扫黑除恶综合会议、专题会议10余次，研究部署工作难题。二是全年深入县（区）、乡镇（街道）开展扫黑除恶调研督导近20次，开展行业领域乱象问题整治专项督导3次，开展扫黑除恶综合督导2次，跟踪问效问题整改，推动各项工作走深走实。三是全面开展《反有组织犯罪法》宣传贯彻，制作宣传单、宣传标语及手提袋、围裙、雨伞等宣传实用品，开展“敲门送法”面对面宣传，受教群众近100万人次。四是依法严厉打击，充分发动群众，广泛收集问题线索51条，严厉打击涉黑恶违法犯罪，严肃查处涉黑恶“保护伞”及乱点乱象背后的腐败问题，努力追赃挽损，强力震慑涉黑恶违法犯罪。持续开展村（社区）软弱涣散党组织排查整治行动，切实巩固基层基础。五是大力整治重点行业领域乱点乱象，按照整治工作方案，不断深化信息网络、工程建设、交通运输、自然资源、金融放贷、市场流通、文化旅游、教育、医疗等重点行业领域问题整治，推动社会良序发展。六是有序开展打击整治侵害未成年人违法犯罪专项行动，严厉打击侵害未成年人违法犯罪，着力推进不适宜未成年人活动场所专项治理和校园周边突出问题专项整治，深化防范校园欺凌、留守儿童关爱保护等重点工作，努力保护未成年人安全，严防未成年人被黑恶势力裹胁拉拢。顺利接受省委第四巡视组对上轮巡视反馈问题整改“回头看”和省扫黑除恶第6督导组对常态化扫黑除恶斗争督导检查，受到省扫黑除恶第6督导组领导的充分肯定和一致好评。</w:t>
      </w:r>
    </w:p>
    <w:p w14:paraId="527EE00D">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textAlignment w:val="auto"/>
        <w:rPr>
          <w:rFonts w:ascii="宋体" w:hAnsi="宋体" w:eastAsia="方正仿宋简体"/>
          <w:b/>
          <w:sz w:val="32"/>
          <w:szCs w:val="32"/>
        </w:rPr>
      </w:pPr>
      <w:r>
        <w:rPr>
          <w:rFonts w:hint="eastAsia" w:ascii="宋体" w:hAnsi="宋体" w:eastAsia="方正仿宋简体"/>
          <w:b/>
          <w:sz w:val="32"/>
          <w:szCs w:val="32"/>
          <w:lang w:val="en-US" w:eastAsia="zh-CN"/>
        </w:rPr>
        <w:t>4.</w:t>
      </w:r>
      <w:r>
        <w:rPr>
          <w:rFonts w:ascii="宋体" w:hAnsi="宋体" w:eastAsia="方正仿宋简体"/>
          <w:b/>
          <w:sz w:val="32"/>
          <w:szCs w:val="32"/>
        </w:rPr>
        <w:t>组织及管理（项目组织、管理流程及实际执行情况）</w:t>
      </w:r>
    </w:p>
    <w:p w14:paraId="131FB18D">
      <w:pPr>
        <w:keepNext w:val="0"/>
        <w:keepLines w:val="0"/>
        <w:pageBreakBefore w:val="0"/>
        <w:widowControl w:val="0"/>
        <w:kinsoku/>
        <w:wordWrap/>
        <w:overflowPunct/>
        <w:topLinePunct w:val="0"/>
        <w:autoSpaceDE/>
        <w:autoSpaceDN/>
        <w:bidi w:val="0"/>
        <w:adjustRightInd w:val="0"/>
        <w:snapToGrid/>
        <w:spacing w:line="590" w:lineRule="exact"/>
        <w:ind w:firstLine="660" w:firstLineChars="200"/>
        <w:textAlignment w:val="auto"/>
        <w:rPr>
          <w:rFonts w:hint="eastAsia" w:ascii="宋体" w:hAnsi="宋体" w:eastAsia="方正仿宋_GBK" w:cs="Times New Roman"/>
          <w:color w:val="000000"/>
          <w:sz w:val="33"/>
          <w:szCs w:val="33"/>
        </w:rPr>
      </w:pPr>
      <w:r>
        <w:rPr>
          <w:rFonts w:hint="eastAsia" w:ascii="宋体" w:hAnsi="宋体" w:eastAsia="方正仿宋_GBK" w:cs="Times New Roman"/>
          <w:color w:val="000000"/>
          <w:sz w:val="33"/>
          <w:szCs w:val="33"/>
        </w:rPr>
        <w:t>该项目由市扫黑办负责项目的实施，</w:t>
      </w:r>
      <w:r>
        <w:rPr>
          <w:rFonts w:hint="eastAsia" w:ascii="宋体" w:hAnsi="宋体" w:eastAsia="方正仿宋_GBK" w:cs="Times New Roman"/>
          <w:color w:val="000000"/>
          <w:sz w:val="33"/>
          <w:szCs w:val="33"/>
          <w:lang w:eastAsia="zh-CN"/>
        </w:rPr>
        <w:t>市委政法委</w:t>
      </w:r>
      <w:r>
        <w:rPr>
          <w:rFonts w:hint="eastAsia" w:ascii="宋体" w:hAnsi="宋体" w:eastAsia="方正仿宋_GBK" w:cs="Times New Roman"/>
          <w:color w:val="000000"/>
          <w:sz w:val="33"/>
          <w:szCs w:val="33"/>
        </w:rPr>
        <w:t>办公室申请资金，财政下拨项目经费。根据实际发生情况支付，资金执行情况</w:t>
      </w:r>
      <w:r>
        <w:rPr>
          <w:rFonts w:hint="eastAsia" w:ascii="宋体" w:hAnsi="宋体" w:eastAsia="方正仿宋_GBK" w:cs="Times New Roman"/>
          <w:color w:val="000000"/>
          <w:sz w:val="33"/>
          <w:szCs w:val="33"/>
          <w:lang w:val="en-US" w:eastAsia="zh-CN"/>
        </w:rPr>
        <w:t>18</w:t>
      </w:r>
      <w:r>
        <w:rPr>
          <w:rFonts w:hint="eastAsia" w:ascii="宋体" w:hAnsi="宋体" w:eastAsia="方正仿宋_GBK" w:cs="Times New Roman"/>
          <w:color w:val="000000"/>
          <w:sz w:val="33"/>
          <w:szCs w:val="33"/>
        </w:rPr>
        <w:t>万元。</w:t>
      </w:r>
    </w:p>
    <w:p w14:paraId="1D81220E">
      <w:pPr>
        <w:pStyle w:val="2"/>
        <w:keepNext w:val="0"/>
        <w:keepLines w:val="0"/>
        <w:pageBreakBefore w:val="0"/>
        <w:widowControl w:val="0"/>
        <w:kinsoku/>
        <w:wordWrap/>
        <w:overflowPunct/>
        <w:topLinePunct w:val="0"/>
        <w:autoSpaceDE/>
        <w:autoSpaceDN/>
        <w:bidi w:val="0"/>
        <w:snapToGrid/>
        <w:spacing w:after="0" w:line="620" w:lineRule="exact"/>
        <w:ind w:firstLine="630" w:firstLineChars="196"/>
        <w:textAlignment w:val="auto"/>
        <w:rPr>
          <w:rFonts w:ascii="宋体" w:hAnsi="宋体" w:eastAsia="方正楷体简体"/>
          <w:b/>
          <w:sz w:val="32"/>
          <w:szCs w:val="32"/>
        </w:rPr>
      </w:pPr>
      <w:r>
        <w:rPr>
          <w:rFonts w:ascii="宋体" w:hAnsi="宋体" w:eastAsia="方正楷体简体"/>
          <w:b/>
          <w:sz w:val="32"/>
          <w:szCs w:val="32"/>
        </w:rPr>
        <w:t>（二）绩效目标</w:t>
      </w:r>
    </w:p>
    <w:p w14:paraId="6ACEF673">
      <w:pPr>
        <w:keepNext w:val="0"/>
        <w:keepLines w:val="0"/>
        <w:pageBreakBefore w:val="0"/>
        <w:widowControl w:val="0"/>
        <w:kinsoku/>
        <w:wordWrap/>
        <w:overflowPunct/>
        <w:topLinePunct w:val="0"/>
        <w:autoSpaceDE/>
        <w:autoSpaceDN/>
        <w:bidi w:val="0"/>
        <w:adjustRightInd w:val="0"/>
        <w:snapToGrid/>
        <w:spacing w:line="590" w:lineRule="exact"/>
        <w:ind w:firstLine="660" w:firstLineChars="200"/>
        <w:textAlignment w:val="auto"/>
        <w:rPr>
          <w:rFonts w:hint="eastAsia" w:ascii="宋体" w:hAnsi="宋体" w:eastAsia="方正仿宋_GBK" w:cs="Times New Roman"/>
          <w:color w:val="000000"/>
          <w:sz w:val="33"/>
          <w:szCs w:val="33"/>
        </w:rPr>
      </w:pPr>
      <w:r>
        <w:rPr>
          <w:rFonts w:hint="eastAsia" w:ascii="宋体" w:hAnsi="宋体" w:eastAsia="方正仿宋_GBK" w:cs="Times New Roman"/>
          <w:color w:val="000000"/>
          <w:sz w:val="33"/>
          <w:szCs w:val="33"/>
          <w:lang w:eastAsia="zh-CN"/>
        </w:rPr>
        <w:t>一是</w:t>
      </w:r>
      <w:r>
        <w:rPr>
          <w:rFonts w:hint="eastAsia" w:ascii="宋体" w:hAnsi="宋体" w:eastAsia="方正仿宋_GBK" w:cs="Times New Roman"/>
          <w:color w:val="000000"/>
          <w:sz w:val="33"/>
          <w:szCs w:val="33"/>
        </w:rPr>
        <w:t>紧密配合市扫黑除恶专线斗争领导小组工作，研究部署全市扫黑除恶常态化斗争工作开展，</w:t>
      </w:r>
      <w:r>
        <w:rPr>
          <w:rFonts w:hint="eastAsia" w:ascii="宋体" w:hAnsi="宋体" w:eastAsia="方正仿宋_GBK" w:cs="Times New Roman"/>
          <w:color w:val="000000"/>
          <w:sz w:val="33"/>
          <w:szCs w:val="33"/>
          <w:lang w:eastAsia="zh-CN"/>
        </w:rPr>
        <w:t>推动扫黑除恶重点工作，</w:t>
      </w:r>
      <w:r>
        <w:rPr>
          <w:rFonts w:hint="eastAsia" w:ascii="宋体" w:hAnsi="宋体" w:eastAsia="方正仿宋_GBK" w:cs="Times New Roman"/>
          <w:color w:val="000000"/>
          <w:sz w:val="33"/>
          <w:szCs w:val="33"/>
        </w:rPr>
        <w:t>每季度不少于1次</w:t>
      </w:r>
      <w:r>
        <w:rPr>
          <w:rFonts w:hint="eastAsia" w:ascii="宋体" w:hAnsi="宋体" w:eastAsia="方正仿宋_GBK" w:cs="Times New Roman"/>
          <w:color w:val="000000"/>
          <w:sz w:val="33"/>
          <w:szCs w:val="33"/>
          <w:lang w:eastAsia="zh-CN"/>
        </w:rPr>
        <w:t>。二是统筹全市面上扫黑除恶宣传，开展横到底、纵到边宣传，营造社会面扫黑除恶浓厚氛围。三是进一步完善“四组一中心”运行模式，</w:t>
      </w:r>
      <w:r>
        <w:rPr>
          <w:rFonts w:hint="eastAsia" w:ascii="宋体" w:hAnsi="宋体" w:eastAsia="方正仿宋_GBK" w:cs="Times New Roman"/>
          <w:color w:val="000000"/>
          <w:sz w:val="33"/>
          <w:szCs w:val="33"/>
        </w:rPr>
        <w:t>建立健全重大案件</w:t>
      </w:r>
      <w:r>
        <w:rPr>
          <w:rFonts w:hint="eastAsia" w:ascii="宋体" w:hAnsi="宋体" w:eastAsia="方正仿宋_GBK" w:cs="Times New Roman"/>
          <w:color w:val="000000"/>
          <w:sz w:val="33"/>
          <w:szCs w:val="33"/>
          <w:lang w:eastAsia="zh-CN"/>
        </w:rPr>
        <w:t>、重要事项联席</w:t>
      </w:r>
      <w:r>
        <w:rPr>
          <w:rFonts w:hint="eastAsia" w:ascii="宋体" w:hAnsi="宋体" w:eastAsia="方正仿宋_GBK" w:cs="Times New Roman"/>
          <w:color w:val="000000"/>
          <w:sz w:val="33"/>
          <w:szCs w:val="33"/>
        </w:rPr>
        <w:t>会商机制，统筹协调各</w:t>
      </w:r>
      <w:r>
        <w:rPr>
          <w:rFonts w:hint="eastAsia" w:ascii="宋体" w:hAnsi="宋体" w:eastAsia="方正仿宋_GBK" w:cs="Times New Roman"/>
          <w:color w:val="000000"/>
          <w:sz w:val="33"/>
          <w:szCs w:val="33"/>
          <w:lang w:eastAsia="zh-CN"/>
        </w:rPr>
        <w:t>地各</w:t>
      </w:r>
      <w:r>
        <w:rPr>
          <w:rFonts w:hint="eastAsia" w:ascii="宋体" w:hAnsi="宋体" w:eastAsia="方正仿宋_GBK" w:cs="Times New Roman"/>
          <w:color w:val="000000"/>
          <w:sz w:val="33"/>
          <w:szCs w:val="33"/>
        </w:rPr>
        <w:t>成员单位</w:t>
      </w:r>
      <w:r>
        <w:rPr>
          <w:rFonts w:hint="eastAsia" w:ascii="宋体" w:hAnsi="宋体" w:eastAsia="方正仿宋_GBK" w:cs="Times New Roman"/>
          <w:color w:val="000000"/>
          <w:sz w:val="33"/>
          <w:szCs w:val="33"/>
          <w:lang w:eastAsia="zh-CN"/>
        </w:rPr>
        <w:t>常态化开展宣传教育、依法打击、问题整治等</w:t>
      </w:r>
      <w:r>
        <w:rPr>
          <w:rFonts w:hint="eastAsia" w:ascii="宋体" w:hAnsi="宋体" w:eastAsia="方正仿宋_GBK" w:cs="Times New Roman"/>
          <w:color w:val="000000"/>
          <w:sz w:val="33"/>
          <w:szCs w:val="33"/>
        </w:rPr>
        <w:t>扫黑除恶工作，确保</w:t>
      </w:r>
      <w:r>
        <w:rPr>
          <w:rFonts w:hint="eastAsia" w:ascii="宋体" w:hAnsi="宋体" w:eastAsia="方正仿宋_GBK" w:cs="Times New Roman"/>
          <w:color w:val="000000"/>
          <w:sz w:val="33"/>
          <w:szCs w:val="33"/>
          <w:lang w:eastAsia="zh-CN"/>
        </w:rPr>
        <w:t>最大实效</w:t>
      </w:r>
      <w:r>
        <w:rPr>
          <w:rFonts w:hint="eastAsia" w:ascii="宋体" w:hAnsi="宋体" w:eastAsia="方正仿宋_GBK" w:cs="Times New Roman"/>
          <w:color w:val="000000"/>
          <w:sz w:val="33"/>
          <w:szCs w:val="33"/>
        </w:rPr>
        <w:t>。</w:t>
      </w:r>
      <w:r>
        <w:rPr>
          <w:rFonts w:hint="eastAsia" w:ascii="宋体" w:hAnsi="宋体" w:eastAsia="方正仿宋_GBK" w:cs="Times New Roman"/>
          <w:color w:val="000000"/>
          <w:sz w:val="33"/>
          <w:szCs w:val="33"/>
          <w:lang w:eastAsia="zh-CN"/>
        </w:rPr>
        <w:t>四是</w:t>
      </w:r>
      <w:r>
        <w:rPr>
          <w:rFonts w:hint="eastAsia" w:ascii="宋体" w:hAnsi="宋体" w:eastAsia="方正仿宋_GBK" w:cs="Times New Roman"/>
          <w:color w:val="000000"/>
          <w:sz w:val="33"/>
          <w:szCs w:val="33"/>
        </w:rPr>
        <w:t>推进各</w:t>
      </w:r>
      <w:r>
        <w:rPr>
          <w:rFonts w:hint="eastAsia" w:ascii="宋体" w:hAnsi="宋体" w:eastAsia="方正仿宋_GBK" w:cs="Times New Roman"/>
          <w:color w:val="000000"/>
          <w:sz w:val="33"/>
          <w:szCs w:val="33"/>
          <w:lang w:eastAsia="zh-CN"/>
        </w:rPr>
        <w:t>地各</w:t>
      </w:r>
      <w:r>
        <w:rPr>
          <w:rFonts w:hint="eastAsia" w:ascii="宋体" w:hAnsi="宋体" w:eastAsia="方正仿宋_GBK" w:cs="Times New Roman"/>
          <w:color w:val="000000"/>
          <w:sz w:val="33"/>
          <w:szCs w:val="33"/>
        </w:rPr>
        <w:t>成员单位</w:t>
      </w:r>
      <w:r>
        <w:rPr>
          <w:rFonts w:hint="eastAsia" w:ascii="宋体" w:hAnsi="宋体" w:eastAsia="方正仿宋_GBK" w:cs="Times New Roman"/>
          <w:color w:val="000000"/>
          <w:sz w:val="33"/>
          <w:szCs w:val="33"/>
          <w:lang w:eastAsia="zh-CN"/>
        </w:rPr>
        <w:t>有力有序推进</w:t>
      </w:r>
      <w:r>
        <w:rPr>
          <w:rFonts w:hint="eastAsia" w:ascii="宋体" w:hAnsi="宋体" w:eastAsia="方正仿宋_GBK" w:cs="Times New Roman"/>
          <w:color w:val="000000"/>
          <w:sz w:val="33"/>
          <w:szCs w:val="33"/>
        </w:rPr>
        <w:t>工作，推动省</w:t>
      </w:r>
      <w:r>
        <w:rPr>
          <w:rFonts w:hint="eastAsia" w:ascii="宋体" w:hAnsi="宋体" w:eastAsia="方正仿宋_GBK" w:cs="Times New Roman"/>
          <w:color w:val="000000"/>
          <w:sz w:val="33"/>
          <w:szCs w:val="33"/>
          <w:lang w:eastAsia="zh-CN"/>
        </w:rPr>
        <w:t>扫黑除恶第</w:t>
      </w:r>
      <w:r>
        <w:rPr>
          <w:rFonts w:hint="eastAsia" w:ascii="宋体" w:hAnsi="宋体" w:eastAsia="方正仿宋_GBK" w:cs="Times New Roman"/>
          <w:color w:val="000000"/>
          <w:sz w:val="33"/>
          <w:szCs w:val="33"/>
          <w:lang w:val="en-US" w:eastAsia="zh-CN"/>
        </w:rPr>
        <w:t>6</w:t>
      </w:r>
      <w:r>
        <w:rPr>
          <w:rFonts w:hint="eastAsia" w:ascii="宋体" w:hAnsi="宋体" w:eastAsia="方正仿宋_GBK" w:cs="Times New Roman"/>
          <w:color w:val="000000"/>
          <w:sz w:val="33"/>
          <w:szCs w:val="33"/>
        </w:rPr>
        <w:t>督导</w:t>
      </w:r>
      <w:r>
        <w:rPr>
          <w:rFonts w:hint="eastAsia" w:ascii="宋体" w:hAnsi="宋体" w:eastAsia="方正仿宋_GBK" w:cs="Times New Roman"/>
          <w:color w:val="000000"/>
          <w:sz w:val="33"/>
          <w:szCs w:val="33"/>
          <w:lang w:eastAsia="zh-CN"/>
        </w:rPr>
        <w:t>组</w:t>
      </w:r>
      <w:r>
        <w:rPr>
          <w:rFonts w:hint="eastAsia" w:ascii="宋体" w:hAnsi="宋体" w:eastAsia="方正仿宋_GBK" w:cs="Times New Roman"/>
          <w:color w:val="000000"/>
          <w:sz w:val="33"/>
          <w:szCs w:val="33"/>
        </w:rPr>
        <w:t>反馈问题整改落实，</w:t>
      </w:r>
      <w:r>
        <w:rPr>
          <w:rFonts w:hint="eastAsia" w:ascii="宋体" w:hAnsi="宋体" w:eastAsia="方正仿宋_GBK" w:cs="Times New Roman"/>
          <w:color w:val="000000"/>
          <w:sz w:val="33"/>
          <w:szCs w:val="33"/>
          <w:lang w:eastAsia="zh-CN"/>
        </w:rPr>
        <w:t>压实</w:t>
      </w:r>
      <w:r>
        <w:rPr>
          <w:rFonts w:hint="eastAsia" w:ascii="宋体" w:hAnsi="宋体" w:eastAsia="方正仿宋_GBK" w:cs="Times New Roman"/>
          <w:color w:val="000000"/>
          <w:sz w:val="33"/>
          <w:szCs w:val="33"/>
        </w:rPr>
        <w:t>责任，促进整改到位。</w:t>
      </w:r>
      <w:r>
        <w:rPr>
          <w:rFonts w:hint="eastAsia" w:ascii="宋体" w:hAnsi="宋体" w:eastAsia="方正仿宋_GBK" w:cs="Times New Roman"/>
          <w:color w:val="000000"/>
          <w:sz w:val="33"/>
          <w:szCs w:val="33"/>
          <w:lang w:eastAsia="zh-CN"/>
        </w:rPr>
        <w:t>五是</w:t>
      </w:r>
      <w:r>
        <w:rPr>
          <w:rFonts w:hint="eastAsia" w:ascii="宋体" w:hAnsi="宋体" w:eastAsia="方正仿宋_GBK" w:cs="Times New Roman"/>
          <w:color w:val="000000"/>
          <w:sz w:val="33"/>
          <w:szCs w:val="33"/>
        </w:rPr>
        <w:t>强化工作督导，开展对后进地区、单位</w:t>
      </w:r>
      <w:r>
        <w:rPr>
          <w:rFonts w:hint="eastAsia" w:ascii="宋体" w:hAnsi="宋体" w:eastAsia="方正仿宋_GBK" w:cs="Times New Roman"/>
          <w:color w:val="000000"/>
          <w:sz w:val="33"/>
          <w:szCs w:val="33"/>
          <w:lang w:eastAsia="zh-CN"/>
        </w:rPr>
        <w:t>警示提醒、</w:t>
      </w:r>
      <w:r>
        <w:rPr>
          <w:rFonts w:hint="eastAsia" w:ascii="宋体" w:hAnsi="宋体" w:eastAsia="方正仿宋_GBK" w:cs="Times New Roman"/>
          <w:color w:val="000000"/>
          <w:sz w:val="33"/>
          <w:szCs w:val="33"/>
        </w:rPr>
        <w:t>约谈，督促工作落实，</w:t>
      </w:r>
      <w:r>
        <w:rPr>
          <w:rFonts w:hint="eastAsia" w:ascii="宋体" w:hAnsi="宋体" w:eastAsia="方正仿宋_GBK" w:cs="Times New Roman"/>
          <w:color w:val="000000"/>
          <w:sz w:val="33"/>
          <w:szCs w:val="33"/>
          <w:lang w:eastAsia="zh-CN"/>
        </w:rPr>
        <w:t>全面</w:t>
      </w:r>
      <w:r>
        <w:rPr>
          <w:rFonts w:hint="eastAsia" w:ascii="宋体" w:hAnsi="宋体" w:eastAsia="方正仿宋_GBK" w:cs="Times New Roman"/>
          <w:color w:val="000000"/>
          <w:sz w:val="33"/>
          <w:szCs w:val="33"/>
        </w:rPr>
        <w:t>完成年度目标任务。</w:t>
      </w:r>
    </w:p>
    <w:p w14:paraId="76CA67E2">
      <w:pPr>
        <w:pStyle w:val="2"/>
        <w:keepNext w:val="0"/>
        <w:keepLines w:val="0"/>
        <w:pageBreakBefore w:val="0"/>
        <w:widowControl w:val="0"/>
        <w:kinsoku/>
        <w:wordWrap/>
        <w:overflowPunct/>
        <w:topLinePunct w:val="0"/>
        <w:autoSpaceDE/>
        <w:autoSpaceDN/>
        <w:bidi w:val="0"/>
        <w:snapToGrid/>
        <w:spacing w:after="0" w:line="620" w:lineRule="exact"/>
        <w:ind w:firstLine="627" w:firstLineChars="196"/>
        <w:textAlignment w:val="auto"/>
        <w:rPr>
          <w:rFonts w:ascii="宋体" w:hAnsi="宋体" w:eastAsia="方正黑体简体"/>
          <w:sz w:val="32"/>
          <w:szCs w:val="32"/>
        </w:rPr>
      </w:pPr>
      <w:r>
        <w:rPr>
          <w:rFonts w:ascii="宋体" w:hAnsi="宋体" w:eastAsia="方正黑体简体"/>
          <w:sz w:val="32"/>
          <w:szCs w:val="32"/>
        </w:rPr>
        <w:t>二、绩效自评工作情况</w:t>
      </w:r>
    </w:p>
    <w:p w14:paraId="20104053">
      <w:pPr>
        <w:pStyle w:val="2"/>
        <w:keepNext w:val="0"/>
        <w:keepLines w:val="0"/>
        <w:pageBreakBefore w:val="0"/>
        <w:widowControl w:val="0"/>
        <w:kinsoku/>
        <w:wordWrap/>
        <w:overflowPunct/>
        <w:topLinePunct w:val="0"/>
        <w:autoSpaceDE/>
        <w:autoSpaceDN/>
        <w:bidi w:val="0"/>
        <w:snapToGrid/>
        <w:spacing w:after="0" w:line="620" w:lineRule="exact"/>
        <w:ind w:firstLine="630" w:firstLineChars="196"/>
        <w:textAlignment w:val="auto"/>
        <w:rPr>
          <w:rFonts w:ascii="宋体" w:hAnsi="宋体" w:eastAsia="方正楷体简体"/>
          <w:b/>
          <w:sz w:val="32"/>
          <w:szCs w:val="32"/>
        </w:rPr>
      </w:pPr>
      <w:r>
        <w:rPr>
          <w:rFonts w:ascii="宋体" w:hAnsi="宋体" w:eastAsia="方正楷体简体"/>
          <w:b/>
          <w:sz w:val="32"/>
          <w:szCs w:val="32"/>
        </w:rPr>
        <w:t>（一）自评工作组织领导</w:t>
      </w:r>
    </w:p>
    <w:p w14:paraId="1E885CDA">
      <w:pPr>
        <w:keepNext w:val="0"/>
        <w:keepLines w:val="0"/>
        <w:pageBreakBefore w:val="0"/>
        <w:widowControl w:val="0"/>
        <w:kinsoku/>
        <w:wordWrap/>
        <w:overflowPunct/>
        <w:topLinePunct w:val="0"/>
        <w:autoSpaceDE/>
        <w:autoSpaceDN/>
        <w:bidi w:val="0"/>
        <w:adjustRightInd w:val="0"/>
        <w:snapToGrid/>
        <w:spacing w:line="590" w:lineRule="exact"/>
        <w:ind w:firstLine="660" w:firstLineChars="200"/>
        <w:textAlignment w:val="auto"/>
        <w:rPr>
          <w:rFonts w:hint="eastAsia" w:ascii="宋体" w:hAnsi="宋体" w:eastAsia="方正仿宋_GBK"/>
          <w:sz w:val="33"/>
          <w:szCs w:val="33"/>
        </w:rPr>
      </w:pPr>
      <w:r>
        <w:rPr>
          <w:rFonts w:hint="eastAsia" w:ascii="宋体" w:hAnsi="宋体" w:eastAsia="方正仿宋_GBK"/>
          <w:sz w:val="33"/>
          <w:szCs w:val="33"/>
        </w:rPr>
        <w:t>单位有专（兼）职人员负责绩效考核工作。</w:t>
      </w:r>
    </w:p>
    <w:p w14:paraId="6D67425D">
      <w:pPr>
        <w:keepNext w:val="0"/>
        <w:keepLines w:val="0"/>
        <w:pageBreakBefore w:val="0"/>
        <w:widowControl w:val="0"/>
        <w:numPr>
          <w:ilvl w:val="0"/>
          <w:numId w:val="5"/>
        </w:numPr>
        <w:kinsoku/>
        <w:wordWrap/>
        <w:overflowPunct/>
        <w:topLinePunct w:val="0"/>
        <w:autoSpaceDE/>
        <w:autoSpaceDN/>
        <w:bidi w:val="0"/>
        <w:snapToGrid/>
        <w:spacing w:line="600" w:lineRule="exact"/>
        <w:ind w:firstLine="643" w:firstLineChars="200"/>
        <w:textAlignment w:val="auto"/>
        <w:rPr>
          <w:rFonts w:ascii="宋体" w:hAnsi="宋体" w:eastAsia="方正楷体简体"/>
          <w:b/>
          <w:sz w:val="32"/>
          <w:szCs w:val="32"/>
        </w:rPr>
      </w:pPr>
      <w:r>
        <w:rPr>
          <w:rFonts w:ascii="宋体" w:hAnsi="宋体" w:eastAsia="方正楷体简体"/>
          <w:b/>
          <w:sz w:val="32"/>
          <w:szCs w:val="32"/>
        </w:rPr>
        <w:t>自评方式、方法、重点等</w:t>
      </w:r>
    </w:p>
    <w:p w14:paraId="59CA7994">
      <w:pPr>
        <w:keepNext w:val="0"/>
        <w:keepLines w:val="0"/>
        <w:pageBreakBefore w:val="0"/>
        <w:widowControl w:val="0"/>
        <w:kinsoku/>
        <w:wordWrap/>
        <w:overflowPunct/>
        <w:topLinePunct w:val="0"/>
        <w:autoSpaceDE/>
        <w:autoSpaceDN/>
        <w:bidi w:val="0"/>
        <w:adjustRightInd w:val="0"/>
        <w:snapToGrid/>
        <w:spacing w:line="590" w:lineRule="exact"/>
        <w:ind w:firstLine="660" w:firstLineChars="200"/>
        <w:textAlignment w:val="auto"/>
        <w:rPr>
          <w:rFonts w:hint="eastAsia" w:ascii="宋体" w:hAnsi="宋体" w:eastAsia="方正仿宋_GBK"/>
          <w:sz w:val="33"/>
          <w:szCs w:val="33"/>
        </w:rPr>
      </w:pPr>
      <w:r>
        <w:rPr>
          <w:rFonts w:hint="eastAsia" w:ascii="宋体" w:hAnsi="宋体" w:eastAsia="方正仿宋_GBK"/>
          <w:sz w:val="33"/>
          <w:szCs w:val="33"/>
        </w:rPr>
        <w:t>评价工作分为准备阶段、实施阶段和撰写阶段，在准备阶段，我单位首先确定了绩效评价对象，制定绩效评价工作方案；在实施阶段，建立了科学、规划的绩效考核指标体系，制定了明确、合理的财政支出绩效目标，认真收集和审查核实绩效评价相关资料，对绩效目标的实现程度户效果实施了考核与评价；在撰写阶段，综合分析并形成评价结论，运用考评结果提高预算编制、执行和管理水平，建立健全绩效评价档案。</w:t>
      </w:r>
    </w:p>
    <w:p w14:paraId="6FF6DB98">
      <w:pPr>
        <w:pStyle w:val="2"/>
        <w:keepNext w:val="0"/>
        <w:keepLines w:val="0"/>
        <w:pageBreakBefore w:val="0"/>
        <w:widowControl w:val="0"/>
        <w:kinsoku/>
        <w:wordWrap/>
        <w:overflowPunct/>
        <w:topLinePunct w:val="0"/>
        <w:autoSpaceDE/>
        <w:autoSpaceDN/>
        <w:bidi w:val="0"/>
        <w:snapToGrid/>
        <w:spacing w:after="0" w:line="620" w:lineRule="exact"/>
        <w:ind w:firstLine="627" w:firstLineChars="196"/>
        <w:textAlignment w:val="auto"/>
        <w:rPr>
          <w:rFonts w:ascii="宋体" w:hAnsi="宋体" w:eastAsia="方正黑体简体"/>
          <w:sz w:val="32"/>
          <w:szCs w:val="32"/>
        </w:rPr>
      </w:pPr>
      <w:r>
        <w:rPr>
          <w:rFonts w:ascii="宋体" w:hAnsi="宋体" w:eastAsia="方正黑体简体"/>
          <w:sz w:val="32"/>
          <w:szCs w:val="32"/>
        </w:rPr>
        <w:t>三、评价结论</w:t>
      </w:r>
    </w:p>
    <w:p w14:paraId="13284921">
      <w:pPr>
        <w:keepNext w:val="0"/>
        <w:keepLines w:val="0"/>
        <w:pageBreakBefore w:val="0"/>
        <w:widowControl w:val="0"/>
        <w:kinsoku/>
        <w:wordWrap/>
        <w:overflowPunct/>
        <w:topLinePunct w:val="0"/>
        <w:autoSpaceDE/>
        <w:autoSpaceDN/>
        <w:bidi w:val="0"/>
        <w:snapToGrid/>
        <w:spacing w:line="600" w:lineRule="exact"/>
        <w:ind w:firstLine="660" w:firstLineChars="200"/>
        <w:textAlignment w:val="auto"/>
        <w:rPr>
          <w:rFonts w:hint="eastAsia" w:ascii="宋体" w:hAnsi="宋体" w:eastAsia="仿宋_GB2312" w:cs="仿宋_GB2312"/>
          <w:sz w:val="33"/>
          <w:szCs w:val="33"/>
        </w:rPr>
      </w:pPr>
      <w:r>
        <w:rPr>
          <w:rFonts w:hint="eastAsia" w:ascii="宋体" w:hAnsi="宋体" w:eastAsia="方正仿宋_GBK"/>
          <w:sz w:val="33"/>
          <w:szCs w:val="33"/>
        </w:rPr>
        <w:t>根据预算绩效管理工作要求对202</w:t>
      </w:r>
      <w:r>
        <w:rPr>
          <w:rFonts w:hint="eastAsia" w:ascii="宋体" w:hAnsi="宋体" w:eastAsia="方正仿宋_GBK"/>
          <w:sz w:val="33"/>
          <w:szCs w:val="33"/>
          <w:lang w:val="en-US" w:eastAsia="zh-CN"/>
        </w:rPr>
        <w:t>3</w:t>
      </w:r>
      <w:r>
        <w:rPr>
          <w:rFonts w:hint="eastAsia" w:ascii="宋体" w:hAnsi="宋体" w:eastAsia="方正仿宋_GBK"/>
          <w:sz w:val="33"/>
          <w:szCs w:val="33"/>
        </w:rPr>
        <w:t>年项目支出绩效管理工作进行了自评考核，按照综合评分结果，依据</w:t>
      </w:r>
      <w:r>
        <w:rPr>
          <w:rFonts w:hint="eastAsia" w:ascii="宋体" w:hAnsi="宋体" w:eastAsia="方正仿宋_GBK"/>
          <w:sz w:val="33"/>
          <w:szCs w:val="33"/>
          <w:lang w:eastAsia="zh-CN"/>
        </w:rPr>
        <w:t>资</w:t>
      </w:r>
      <w:r>
        <w:rPr>
          <w:rFonts w:hint="eastAsia" w:ascii="宋体" w:hAnsi="宋体" w:eastAsia="方正仿宋_GBK"/>
          <w:sz w:val="33"/>
          <w:szCs w:val="33"/>
        </w:rPr>
        <w:t>财监督〔2020〕1号规定评价等级为优，扫黑除恶常态化斗争经费支出绩效评价结果为：优秀。</w:t>
      </w:r>
    </w:p>
    <w:p w14:paraId="7F414EDD">
      <w:pPr>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ascii="宋体" w:hAnsi="宋体" w:eastAsia="方正黑体简体"/>
          <w:sz w:val="32"/>
          <w:szCs w:val="32"/>
        </w:rPr>
      </w:pPr>
      <w:r>
        <w:rPr>
          <w:rFonts w:ascii="宋体" w:hAnsi="宋体" w:eastAsia="方正黑体简体"/>
          <w:sz w:val="32"/>
          <w:szCs w:val="32"/>
        </w:rPr>
        <w:t>四、绩效分析</w:t>
      </w:r>
    </w:p>
    <w:p w14:paraId="1DB8072F">
      <w:pPr>
        <w:pStyle w:val="2"/>
        <w:keepNext w:val="0"/>
        <w:keepLines w:val="0"/>
        <w:pageBreakBefore w:val="0"/>
        <w:widowControl w:val="0"/>
        <w:kinsoku/>
        <w:wordWrap/>
        <w:overflowPunct/>
        <w:topLinePunct w:val="0"/>
        <w:autoSpaceDE/>
        <w:autoSpaceDN/>
        <w:bidi w:val="0"/>
        <w:snapToGrid/>
        <w:spacing w:after="0" w:line="620" w:lineRule="exact"/>
        <w:ind w:firstLine="627" w:firstLineChars="196"/>
        <w:textAlignment w:val="auto"/>
        <w:rPr>
          <w:rFonts w:ascii="宋体" w:hAnsi="宋体" w:eastAsia="方正仿宋简体"/>
          <w:color w:val="auto"/>
          <w:sz w:val="32"/>
          <w:szCs w:val="32"/>
        </w:rPr>
      </w:pPr>
      <w:r>
        <w:rPr>
          <w:rFonts w:hint="eastAsia" w:ascii="宋体" w:hAnsi="宋体" w:eastAsia="方正仿宋简体"/>
          <w:color w:val="auto"/>
          <w:sz w:val="32"/>
          <w:szCs w:val="32"/>
          <w:lang w:eastAsia="zh-CN"/>
        </w:rPr>
        <w:t>项目</w:t>
      </w:r>
      <w:r>
        <w:rPr>
          <w:rFonts w:hint="eastAsia" w:ascii="宋体" w:hAnsi="宋体" w:eastAsia="方正仿宋简体"/>
          <w:color w:val="auto"/>
          <w:sz w:val="32"/>
          <w:szCs w:val="32"/>
        </w:rPr>
        <w:t>支出绩效评价的评分依据、</w:t>
      </w:r>
      <w:r>
        <w:rPr>
          <w:rFonts w:hint="eastAsia" w:ascii="宋体" w:hAnsi="宋体" w:eastAsia="方正仿宋简体"/>
          <w:color w:val="auto"/>
          <w:sz w:val="32"/>
          <w:szCs w:val="32"/>
          <w:lang w:eastAsia="zh-CN"/>
        </w:rPr>
        <w:t>得分情况、</w:t>
      </w:r>
      <w:r>
        <w:rPr>
          <w:rFonts w:hint="eastAsia" w:ascii="宋体" w:hAnsi="宋体" w:eastAsia="方正仿宋简体"/>
          <w:color w:val="auto"/>
          <w:sz w:val="32"/>
          <w:szCs w:val="32"/>
        </w:rPr>
        <w:t>扣分原因分析等见《20</w:t>
      </w:r>
      <w:r>
        <w:rPr>
          <w:rFonts w:hint="eastAsia" w:ascii="宋体" w:hAnsi="宋体" w:eastAsia="方正仿宋简体"/>
          <w:color w:val="auto"/>
          <w:sz w:val="32"/>
          <w:szCs w:val="32"/>
          <w:lang w:val="en-US" w:eastAsia="zh-CN"/>
        </w:rPr>
        <w:t>23</w:t>
      </w:r>
      <w:r>
        <w:rPr>
          <w:rFonts w:hint="eastAsia" w:ascii="宋体" w:hAnsi="宋体" w:eastAsia="方正仿宋简体"/>
          <w:color w:val="auto"/>
          <w:sz w:val="32"/>
          <w:szCs w:val="32"/>
        </w:rPr>
        <w:t>年度市本级</w:t>
      </w:r>
      <w:r>
        <w:rPr>
          <w:rFonts w:hint="eastAsia" w:ascii="宋体" w:hAnsi="宋体" w:eastAsia="方正仿宋简体"/>
          <w:color w:val="auto"/>
          <w:sz w:val="32"/>
          <w:szCs w:val="32"/>
          <w:lang w:eastAsia="zh-CN"/>
        </w:rPr>
        <w:t>项目</w:t>
      </w:r>
      <w:r>
        <w:rPr>
          <w:rFonts w:hint="eastAsia" w:ascii="宋体" w:hAnsi="宋体" w:eastAsia="方正仿宋简体"/>
          <w:color w:val="auto"/>
          <w:sz w:val="32"/>
          <w:szCs w:val="32"/>
        </w:rPr>
        <w:t>支出绩效自评计分表》（附件</w:t>
      </w:r>
      <w:r>
        <w:rPr>
          <w:rFonts w:hint="eastAsia" w:ascii="宋体" w:hAnsi="宋体" w:eastAsia="方正仿宋简体"/>
          <w:color w:val="auto"/>
          <w:sz w:val="32"/>
          <w:szCs w:val="32"/>
          <w:lang w:val="en-US" w:eastAsia="zh-CN"/>
        </w:rPr>
        <w:t>2</w:t>
      </w:r>
      <w:r>
        <w:rPr>
          <w:rFonts w:hint="eastAsia" w:ascii="宋体" w:hAnsi="宋体" w:eastAsia="方正仿宋简体"/>
          <w:color w:val="auto"/>
          <w:sz w:val="32"/>
          <w:szCs w:val="32"/>
        </w:rPr>
        <w:t>-1）</w:t>
      </w:r>
      <w:r>
        <w:rPr>
          <w:rFonts w:ascii="宋体" w:hAnsi="宋体" w:eastAsia="方正仿宋简体"/>
          <w:color w:val="auto"/>
          <w:sz w:val="32"/>
          <w:szCs w:val="32"/>
        </w:rPr>
        <w:t>。</w:t>
      </w:r>
    </w:p>
    <w:p w14:paraId="60F7D38F">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ascii="宋体" w:hAnsi="宋体" w:eastAsia="方正仿宋简体"/>
          <w:b/>
          <w:color w:val="000000"/>
          <w:kern w:val="0"/>
          <w:sz w:val="32"/>
          <w:szCs w:val="32"/>
        </w:rPr>
      </w:pPr>
      <w:r>
        <w:rPr>
          <w:rFonts w:hint="eastAsia" w:ascii="宋体" w:hAnsi="宋体" w:eastAsia="方正仿宋简体"/>
          <w:b/>
          <w:color w:val="000000"/>
          <w:kern w:val="0"/>
          <w:sz w:val="32"/>
          <w:szCs w:val="32"/>
        </w:rPr>
        <w:t>1.投入指标分析</w:t>
      </w:r>
      <w:r>
        <w:rPr>
          <w:rFonts w:hint="default" w:ascii="宋体" w:hAnsi="宋体" w:eastAsia="方正仿宋简体" w:cs="Times New Roman"/>
          <w:color w:val="000000"/>
          <w:kern w:val="0"/>
          <w:sz w:val="32"/>
          <w:szCs w:val="32"/>
        </w:rPr>
        <w:t>（总分</w:t>
      </w:r>
      <w:r>
        <w:rPr>
          <w:rFonts w:hint="default" w:ascii="宋体" w:hAnsi="宋体" w:eastAsia="方正仿宋简体" w:cs="Times New Roman"/>
          <w:color w:val="000000"/>
          <w:kern w:val="0"/>
          <w:sz w:val="32"/>
          <w:szCs w:val="32"/>
          <w:lang w:val="en-US" w:eastAsia="zh-CN"/>
        </w:rPr>
        <w:t>25</w:t>
      </w:r>
      <w:r>
        <w:rPr>
          <w:rFonts w:hint="default" w:ascii="宋体" w:hAnsi="宋体" w:eastAsia="方正仿宋简体" w:cs="Times New Roman"/>
          <w:color w:val="000000"/>
          <w:kern w:val="0"/>
          <w:sz w:val="32"/>
          <w:szCs w:val="32"/>
        </w:rPr>
        <w:t>分，得分</w:t>
      </w:r>
      <w:r>
        <w:rPr>
          <w:rFonts w:hint="default" w:ascii="宋体" w:hAnsi="宋体" w:eastAsia="方正仿宋简体" w:cs="Times New Roman"/>
          <w:color w:val="000000"/>
          <w:kern w:val="0"/>
          <w:sz w:val="32"/>
          <w:szCs w:val="32"/>
          <w:lang w:val="en-US" w:eastAsia="zh-CN"/>
        </w:rPr>
        <w:t>25</w:t>
      </w:r>
      <w:r>
        <w:rPr>
          <w:rFonts w:hint="default" w:ascii="宋体" w:hAnsi="宋体" w:eastAsia="方正仿宋简体" w:cs="Times New Roman"/>
          <w:color w:val="000000"/>
          <w:kern w:val="0"/>
          <w:sz w:val="32"/>
          <w:szCs w:val="32"/>
        </w:rPr>
        <w:t>分）</w:t>
      </w:r>
    </w:p>
    <w:p w14:paraId="3E4ACB86">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ascii="宋体" w:hAnsi="宋体" w:eastAsia="方正仿宋简体"/>
          <w:b/>
          <w:color w:val="000000"/>
          <w:kern w:val="0"/>
          <w:sz w:val="32"/>
          <w:szCs w:val="32"/>
        </w:rPr>
      </w:pPr>
      <w:r>
        <w:rPr>
          <w:rFonts w:hint="eastAsia" w:ascii="宋体" w:hAnsi="宋体" w:eastAsia="方正仿宋简体" w:cs="Times New Roman"/>
          <w:b/>
          <w:color w:val="000000"/>
          <w:kern w:val="0"/>
          <w:sz w:val="32"/>
          <w:szCs w:val="32"/>
        </w:rPr>
        <w:t>（1）</w:t>
      </w:r>
      <w:r>
        <w:rPr>
          <w:rFonts w:hint="eastAsia" w:ascii="宋体" w:hAnsi="宋体" w:eastAsia="方正仿宋简体"/>
          <w:b/>
          <w:color w:val="000000"/>
          <w:kern w:val="0"/>
          <w:sz w:val="32"/>
          <w:szCs w:val="32"/>
          <w:lang w:eastAsia="zh-CN"/>
        </w:rPr>
        <w:t>项目立项</w:t>
      </w:r>
    </w:p>
    <w:p w14:paraId="4F52D42B">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宋体" w:hAnsi="宋体" w:eastAsia="方正仿宋简体"/>
          <w:color w:val="000000"/>
          <w:sz w:val="32"/>
          <w:szCs w:val="32"/>
          <w:lang w:val="en-US" w:eastAsia="zh-CN"/>
        </w:rPr>
      </w:pPr>
      <w:r>
        <w:rPr>
          <w:rFonts w:hint="eastAsia" w:ascii="宋体" w:hAnsi="宋体" w:eastAsia="方正仿宋简体"/>
          <w:color w:val="000000"/>
          <w:kern w:val="0"/>
          <w:sz w:val="32"/>
          <w:szCs w:val="32"/>
        </w:rPr>
        <w:t>本单位</w:t>
      </w:r>
      <w:r>
        <w:rPr>
          <w:rFonts w:hint="eastAsia" w:ascii="宋体" w:hAnsi="宋体" w:eastAsia="方正仿宋简体"/>
          <w:color w:val="000000"/>
          <w:kern w:val="0"/>
          <w:sz w:val="32"/>
          <w:szCs w:val="32"/>
          <w:lang w:eastAsia="zh-CN"/>
        </w:rPr>
        <w:t>项目立项规范，项目按规定程序申请、设立，提交的文件、资料符合相关要求；绩效目标合理，项目设定的绩效目标</w:t>
      </w:r>
      <w:r>
        <w:rPr>
          <w:rFonts w:hint="eastAsia" w:ascii="宋体" w:hAnsi="宋体" w:eastAsia="方正仿宋简体"/>
          <w:color w:val="000000"/>
          <w:kern w:val="0"/>
          <w:sz w:val="32"/>
          <w:szCs w:val="32"/>
        </w:rPr>
        <w:t>符合国家法律</w:t>
      </w:r>
      <w:r>
        <w:rPr>
          <w:rFonts w:ascii="宋体" w:hAnsi="宋体" w:eastAsia="方正仿宋简体"/>
          <w:color w:val="000000"/>
          <w:kern w:val="0"/>
          <w:sz w:val="32"/>
          <w:szCs w:val="32"/>
        </w:rPr>
        <w:t>法规、国民经济和社会发展总体规划</w:t>
      </w:r>
      <w:r>
        <w:rPr>
          <w:rFonts w:hint="eastAsia" w:ascii="宋体" w:hAnsi="宋体" w:eastAsia="方正仿宋简体"/>
          <w:color w:val="000000"/>
          <w:kern w:val="0"/>
          <w:sz w:val="32"/>
          <w:szCs w:val="32"/>
          <w:lang w:eastAsia="zh-CN"/>
        </w:rPr>
        <w:t>，依据充分，符合客观实际；绩效目标</w:t>
      </w:r>
      <w:r>
        <w:rPr>
          <w:rFonts w:hint="eastAsia" w:ascii="宋体" w:hAnsi="宋体" w:eastAsia="方正仿宋简体"/>
          <w:color w:val="000000"/>
          <w:kern w:val="0"/>
          <w:sz w:val="32"/>
          <w:szCs w:val="32"/>
          <w:lang w:val="en-US" w:eastAsia="zh-CN"/>
        </w:rPr>
        <w:t>明确，</w:t>
      </w:r>
      <w:r>
        <w:rPr>
          <w:rFonts w:hint="eastAsia" w:ascii="宋体" w:hAnsi="宋体" w:eastAsia="方正仿宋简体"/>
          <w:color w:val="000000"/>
          <w:sz w:val="32"/>
          <w:szCs w:val="32"/>
        </w:rPr>
        <w:t>设定</w:t>
      </w:r>
      <w:r>
        <w:rPr>
          <w:rFonts w:ascii="宋体" w:hAnsi="宋体" w:eastAsia="方正仿宋简体"/>
          <w:color w:val="000000"/>
          <w:sz w:val="32"/>
          <w:szCs w:val="32"/>
        </w:rPr>
        <w:t>的绩效指标清晰</w:t>
      </w:r>
      <w:r>
        <w:rPr>
          <w:rFonts w:hint="eastAsia" w:ascii="宋体" w:hAnsi="宋体" w:eastAsia="方正仿宋简体"/>
          <w:color w:val="000000"/>
          <w:sz w:val="32"/>
          <w:szCs w:val="32"/>
        </w:rPr>
        <w:t>、</w:t>
      </w:r>
      <w:r>
        <w:rPr>
          <w:rFonts w:ascii="宋体" w:hAnsi="宋体" w:eastAsia="方正仿宋简体"/>
          <w:color w:val="000000"/>
          <w:sz w:val="32"/>
          <w:szCs w:val="32"/>
        </w:rPr>
        <w:t>具体</w:t>
      </w:r>
      <w:r>
        <w:rPr>
          <w:rFonts w:hint="eastAsia" w:ascii="宋体" w:hAnsi="宋体" w:eastAsia="方正仿宋简体"/>
          <w:color w:val="000000"/>
          <w:sz w:val="32"/>
          <w:szCs w:val="32"/>
        </w:rPr>
        <w:t>，</w:t>
      </w:r>
      <w:r>
        <w:rPr>
          <w:rFonts w:ascii="宋体" w:hAnsi="宋体" w:eastAsia="方正仿宋简体"/>
          <w:color w:val="000000"/>
          <w:sz w:val="32"/>
          <w:szCs w:val="32"/>
        </w:rPr>
        <w:t>具有</w:t>
      </w:r>
      <w:r>
        <w:rPr>
          <w:rFonts w:hint="eastAsia" w:ascii="宋体" w:hAnsi="宋体" w:eastAsia="方正仿宋简体"/>
          <w:color w:val="000000"/>
          <w:sz w:val="32"/>
          <w:szCs w:val="32"/>
        </w:rPr>
        <w:t>指导性</w:t>
      </w:r>
      <w:r>
        <w:rPr>
          <w:rFonts w:ascii="宋体" w:hAnsi="宋体" w:eastAsia="方正仿宋简体"/>
          <w:color w:val="000000"/>
          <w:sz w:val="32"/>
          <w:szCs w:val="32"/>
        </w:rPr>
        <w:t>和可衡量</w:t>
      </w:r>
      <w:r>
        <w:rPr>
          <w:rFonts w:hint="eastAsia" w:ascii="宋体" w:hAnsi="宋体" w:eastAsia="方正仿宋简体"/>
          <w:color w:val="000000"/>
          <w:sz w:val="32"/>
          <w:szCs w:val="32"/>
        </w:rPr>
        <w:t>性</w:t>
      </w:r>
      <w:r>
        <w:rPr>
          <w:rFonts w:hint="eastAsia" w:ascii="宋体" w:hAnsi="宋体" w:eastAsia="方正仿宋简体"/>
          <w:color w:val="000000"/>
          <w:sz w:val="32"/>
          <w:szCs w:val="32"/>
          <w:lang w:eastAsia="zh-CN"/>
        </w:rPr>
        <w:t>。</w:t>
      </w:r>
    </w:p>
    <w:p w14:paraId="27A3CEC2">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ascii="宋体" w:hAnsi="宋体" w:eastAsia="方正仿宋简体"/>
          <w:b/>
          <w:color w:val="000000"/>
          <w:sz w:val="32"/>
          <w:szCs w:val="32"/>
        </w:rPr>
      </w:pPr>
      <w:r>
        <w:rPr>
          <w:rFonts w:hint="eastAsia" w:ascii="宋体" w:hAnsi="宋体" w:eastAsia="方正仿宋简体" w:cs="Times New Roman"/>
          <w:b/>
          <w:color w:val="000000"/>
          <w:sz w:val="32"/>
          <w:szCs w:val="32"/>
        </w:rPr>
        <w:t>（2）</w:t>
      </w:r>
      <w:r>
        <w:rPr>
          <w:rFonts w:hint="eastAsia" w:ascii="宋体" w:hAnsi="宋体" w:eastAsia="方正仿宋简体"/>
          <w:b/>
          <w:color w:val="000000"/>
          <w:sz w:val="32"/>
          <w:szCs w:val="32"/>
          <w:lang w:eastAsia="zh-CN"/>
        </w:rPr>
        <w:t>资金落实</w:t>
      </w:r>
    </w:p>
    <w:p w14:paraId="20E0853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简体" w:cs="Times New Roman"/>
          <w:color w:val="000000"/>
          <w:kern w:val="0"/>
          <w:sz w:val="32"/>
          <w:szCs w:val="32"/>
          <w:lang w:val="en-US" w:eastAsia="zh-CN"/>
        </w:rPr>
      </w:pPr>
      <w:r>
        <w:rPr>
          <w:rFonts w:hint="default" w:ascii="宋体" w:hAnsi="宋体" w:eastAsia="方正仿宋简体" w:cs="Times New Roman"/>
          <w:color w:val="000000"/>
          <w:kern w:val="0"/>
          <w:sz w:val="32"/>
          <w:szCs w:val="32"/>
          <w:lang w:val="en-US" w:eastAsia="zh-CN"/>
        </w:rPr>
        <w:t>202</w:t>
      </w:r>
      <w:r>
        <w:rPr>
          <w:rFonts w:hint="eastAsia" w:ascii="宋体" w:hAnsi="宋体" w:eastAsia="方正仿宋简体" w:cs="Times New Roman"/>
          <w:color w:val="000000"/>
          <w:kern w:val="0"/>
          <w:sz w:val="32"/>
          <w:szCs w:val="32"/>
          <w:lang w:val="en-US" w:eastAsia="zh-CN"/>
        </w:rPr>
        <w:t>3</w:t>
      </w:r>
      <w:r>
        <w:rPr>
          <w:rFonts w:hint="default" w:ascii="宋体" w:hAnsi="宋体" w:eastAsia="方正仿宋简体" w:cs="Times New Roman"/>
          <w:color w:val="000000"/>
          <w:kern w:val="0"/>
          <w:sz w:val="32"/>
          <w:szCs w:val="32"/>
          <w:lang w:val="en-US" w:eastAsia="zh-CN"/>
        </w:rPr>
        <w:t>年财政</w:t>
      </w:r>
      <w:r>
        <w:rPr>
          <w:rFonts w:hint="default" w:ascii="宋体" w:hAnsi="宋体" w:eastAsia="方正仿宋简体" w:cs="Times New Roman"/>
          <w:color w:val="000000"/>
          <w:kern w:val="0"/>
          <w:sz w:val="32"/>
          <w:szCs w:val="32"/>
        </w:rPr>
        <w:t>预算安排</w:t>
      </w:r>
      <w:r>
        <w:rPr>
          <w:rFonts w:hint="eastAsia" w:ascii="宋体" w:hAnsi="宋体" w:eastAsia="方正仿宋简体" w:cs="Times New Roman"/>
          <w:color w:val="000000"/>
          <w:kern w:val="0"/>
          <w:sz w:val="32"/>
          <w:szCs w:val="32"/>
          <w:lang w:eastAsia="zh-CN"/>
        </w:rPr>
        <w:t>扫黑除恶专项工作经费</w:t>
      </w:r>
      <w:r>
        <w:rPr>
          <w:rFonts w:hint="eastAsia" w:ascii="宋体" w:hAnsi="宋体" w:eastAsia="方正仿宋简体" w:cs="Times New Roman"/>
          <w:color w:val="000000"/>
          <w:kern w:val="0"/>
          <w:sz w:val="32"/>
          <w:szCs w:val="32"/>
          <w:lang w:val="en-US" w:eastAsia="zh-CN"/>
        </w:rPr>
        <w:t>20</w:t>
      </w:r>
      <w:r>
        <w:rPr>
          <w:rFonts w:hint="default" w:ascii="宋体" w:hAnsi="宋体" w:eastAsia="方正仿宋简体" w:cs="Times New Roman"/>
          <w:color w:val="000000"/>
          <w:kern w:val="0"/>
          <w:sz w:val="32"/>
          <w:szCs w:val="32"/>
        </w:rPr>
        <w:t>万元，</w:t>
      </w:r>
      <w:r>
        <w:rPr>
          <w:rFonts w:hint="default" w:ascii="宋体" w:hAnsi="宋体" w:eastAsia="方正仿宋简体" w:cs="Times New Roman"/>
          <w:color w:val="000000"/>
          <w:kern w:val="0"/>
          <w:sz w:val="32"/>
          <w:szCs w:val="32"/>
          <w:lang w:eastAsia="zh-CN"/>
        </w:rPr>
        <w:t>资金实际到位</w:t>
      </w:r>
      <w:r>
        <w:rPr>
          <w:rFonts w:hint="eastAsia" w:ascii="宋体" w:hAnsi="宋体" w:eastAsia="方正仿宋简体" w:cs="Times New Roman"/>
          <w:color w:val="000000"/>
          <w:kern w:val="0"/>
          <w:sz w:val="32"/>
          <w:szCs w:val="32"/>
          <w:lang w:val="en-US" w:eastAsia="zh-CN"/>
        </w:rPr>
        <w:t>18</w:t>
      </w:r>
      <w:r>
        <w:rPr>
          <w:rFonts w:hint="default" w:ascii="宋体" w:hAnsi="宋体" w:eastAsia="方正仿宋简体" w:cs="Times New Roman"/>
          <w:color w:val="000000"/>
          <w:kern w:val="0"/>
          <w:sz w:val="32"/>
          <w:szCs w:val="32"/>
          <w:lang w:val="en-US" w:eastAsia="zh-CN"/>
        </w:rPr>
        <w:t>万元，资金到位率</w:t>
      </w:r>
      <w:r>
        <w:rPr>
          <w:rFonts w:hint="eastAsia" w:ascii="宋体" w:hAnsi="宋体" w:eastAsia="方正仿宋简体" w:cs="Times New Roman"/>
          <w:color w:val="000000"/>
          <w:kern w:val="0"/>
          <w:sz w:val="32"/>
          <w:szCs w:val="32"/>
          <w:lang w:val="en-US" w:eastAsia="zh-CN"/>
        </w:rPr>
        <w:t>=（实际到位资金/计划投入资金）=18/20=9</w:t>
      </w:r>
      <w:r>
        <w:rPr>
          <w:rFonts w:hint="default" w:ascii="宋体" w:hAnsi="宋体" w:eastAsia="方正仿宋简体" w:cs="Times New Roman"/>
          <w:color w:val="000000"/>
          <w:kern w:val="0"/>
          <w:sz w:val="32"/>
          <w:szCs w:val="32"/>
          <w:lang w:val="en-US" w:eastAsia="zh-CN"/>
        </w:rPr>
        <w:t>0%；到位及时率</w:t>
      </w:r>
      <w:r>
        <w:rPr>
          <w:rFonts w:hint="eastAsia" w:ascii="宋体" w:hAnsi="宋体" w:eastAsia="方正仿宋简体" w:cs="Times New Roman"/>
          <w:color w:val="000000"/>
          <w:kern w:val="0"/>
          <w:sz w:val="32"/>
          <w:szCs w:val="32"/>
          <w:lang w:val="en-US" w:eastAsia="zh-CN"/>
        </w:rPr>
        <w:t>=（及时到位资金/应到位资金）*</w:t>
      </w:r>
      <w:r>
        <w:rPr>
          <w:rFonts w:hint="default" w:ascii="宋体" w:hAnsi="宋体" w:eastAsia="方正仿宋简体" w:cs="Times New Roman"/>
          <w:color w:val="000000"/>
          <w:kern w:val="0"/>
          <w:sz w:val="32"/>
          <w:szCs w:val="32"/>
          <w:lang w:val="en-US" w:eastAsia="zh-CN"/>
        </w:rPr>
        <w:t>100%</w:t>
      </w:r>
      <w:r>
        <w:rPr>
          <w:rFonts w:hint="eastAsia" w:ascii="宋体" w:hAnsi="宋体" w:eastAsia="方正仿宋简体" w:cs="Times New Roman"/>
          <w:color w:val="000000"/>
          <w:kern w:val="0"/>
          <w:sz w:val="32"/>
          <w:szCs w:val="32"/>
          <w:lang w:val="en-US" w:eastAsia="zh-CN"/>
        </w:rPr>
        <w:t>=18/20=90%</w:t>
      </w:r>
      <w:r>
        <w:rPr>
          <w:rFonts w:hint="default" w:ascii="宋体" w:hAnsi="宋体" w:eastAsia="方正仿宋简体" w:cs="Times New Roman"/>
          <w:color w:val="000000"/>
          <w:kern w:val="0"/>
          <w:sz w:val="32"/>
          <w:szCs w:val="32"/>
          <w:lang w:val="en-US" w:eastAsia="zh-CN"/>
        </w:rPr>
        <w:t>。</w:t>
      </w:r>
    </w:p>
    <w:p w14:paraId="15F324AE">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宋体" w:hAnsi="宋体" w:eastAsia="方正仿宋简体" w:cs="Times New Roman"/>
          <w:b/>
          <w:color w:val="000000"/>
          <w:kern w:val="0"/>
          <w:sz w:val="32"/>
          <w:szCs w:val="32"/>
        </w:rPr>
      </w:pPr>
      <w:r>
        <w:rPr>
          <w:rFonts w:hint="eastAsia" w:ascii="宋体" w:hAnsi="宋体" w:eastAsia="方正仿宋简体"/>
          <w:b/>
          <w:color w:val="000000"/>
          <w:kern w:val="0"/>
          <w:sz w:val="32"/>
          <w:szCs w:val="32"/>
          <w:lang w:val="en-US" w:eastAsia="zh-CN"/>
        </w:rPr>
        <w:t>2</w:t>
      </w:r>
      <w:r>
        <w:rPr>
          <w:rFonts w:hint="eastAsia" w:ascii="宋体" w:hAnsi="宋体" w:eastAsia="方正仿宋简体"/>
          <w:b/>
          <w:color w:val="000000"/>
          <w:kern w:val="0"/>
          <w:sz w:val="32"/>
          <w:szCs w:val="32"/>
        </w:rPr>
        <w:t>.</w:t>
      </w:r>
      <w:r>
        <w:rPr>
          <w:rFonts w:hint="eastAsia" w:ascii="宋体" w:hAnsi="宋体" w:eastAsia="方正仿宋简体"/>
          <w:b/>
          <w:color w:val="000000"/>
          <w:kern w:val="0"/>
          <w:sz w:val="32"/>
          <w:szCs w:val="32"/>
          <w:lang w:eastAsia="zh-CN"/>
        </w:rPr>
        <w:t>过程</w:t>
      </w:r>
      <w:r>
        <w:rPr>
          <w:rFonts w:hint="eastAsia" w:ascii="宋体" w:hAnsi="宋体" w:eastAsia="方正仿宋简体"/>
          <w:b/>
          <w:color w:val="000000"/>
          <w:kern w:val="0"/>
          <w:sz w:val="32"/>
          <w:szCs w:val="32"/>
        </w:rPr>
        <w:t>指标分析</w:t>
      </w:r>
      <w:r>
        <w:rPr>
          <w:rFonts w:hint="default" w:ascii="宋体" w:hAnsi="宋体" w:eastAsia="方正仿宋简体" w:cs="Times New Roman"/>
          <w:color w:val="000000"/>
          <w:kern w:val="0"/>
          <w:sz w:val="32"/>
          <w:szCs w:val="32"/>
        </w:rPr>
        <w:t>（总分</w:t>
      </w:r>
      <w:r>
        <w:rPr>
          <w:rFonts w:hint="default" w:ascii="宋体" w:hAnsi="宋体" w:eastAsia="方正仿宋简体" w:cs="Times New Roman"/>
          <w:color w:val="000000"/>
          <w:kern w:val="0"/>
          <w:sz w:val="32"/>
          <w:szCs w:val="32"/>
          <w:lang w:val="en-US" w:eastAsia="zh-CN"/>
        </w:rPr>
        <w:t>25</w:t>
      </w:r>
      <w:r>
        <w:rPr>
          <w:rFonts w:hint="default" w:ascii="宋体" w:hAnsi="宋体" w:eastAsia="方正仿宋简体" w:cs="Times New Roman"/>
          <w:color w:val="000000"/>
          <w:kern w:val="0"/>
          <w:sz w:val="32"/>
          <w:szCs w:val="32"/>
        </w:rPr>
        <w:t>分，得分</w:t>
      </w:r>
      <w:r>
        <w:rPr>
          <w:rFonts w:hint="default" w:ascii="宋体" w:hAnsi="宋体" w:eastAsia="方正仿宋简体" w:cs="Times New Roman"/>
          <w:color w:val="000000"/>
          <w:kern w:val="0"/>
          <w:sz w:val="32"/>
          <w:szCs w:val="32"/>
          <w:lang w:val="en-US" w:eastAsia="zh-CN"/>
        </w:rPr>
        <w:t>25</w:t>
      </w:r>
      <w:r>
        <w:rPr>
          <w:rFonts w:hint="default" w:ascii="宋体" w:hAnsi="宋体" w:eastAsia="方正仿宋简体" w:cs="Times New Roman"/>
          <w:color w:val="000000"/>
          <w:kern w:val="0"/>
          <w:sz w:val="32"/>
          <w:szCs w:val="32"/>
        </w:rPr>
        <w:t>分）</w:t>
      </w:r>
    </w:p>
    <w:p w14:paraId="37095585">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jc w:val="both"/>
        <w:textAlignment w:val="auto"/>
        <w:rPr>
          <w:rFonts w:hint="eastAsia" w:ascii="宋体" w:hAnsi="宋体" w:eastAsia="方正仿宋简体"/>
          <w:b/>
          <w:color w:val="000000"/>
          <w:sz w:val="32"/>
          <w:szCs w:val="32"/>
          <w:lang w:val="en-US" w:eastAsia="zh-CN"/>
        </w:rPr>
      </w:pPr>
      <w:r>
        <w:rPr>
          <w:rFonts w:hint="eastAsia" w:ascii="宋体" w:hAnsi="宋体" w:eastAsia="方正仿宋简体"/>
          <w:b/>
          <w:color w:val="000000"/>
          <w:sz w:val="32"/>
          <w:szCs w:val="32"/>
          <w:lang w:val="en-US" w:eastAsia="zh-CN"/>
        </w:rPr>
        <w:t>（1）业务管理</w:t>
      </w:r>
    </w:p>
    <w:p w14:paraId="2D21ACE1">
      <w:pPr>
        <w:pStyle w:val="2"/>
        <w:keepNext w:val="0"/>
        <w:keepLines w:val="0"/>
        <w:pageBreakBefore w:val="0"/>
        <w:widowControl w:val="0"/>
        <w:kinsoku/>
        <w:wordWrap/>
        <w:overflowPunct/>
        <w:topLinePunct w:val="0"/>
        <w:autoSpaceDE/>
        <w:autoSpaceDN/>
        <w:bidi w:val="0"/>
        <w:snapToGrid/>
        <w:spacing w:after="0" w:line="600" w:lineRule="exact"/>
        <w:ind w:firstLine="624"/>
        <w:jc w:val="both"/>
        <w:textAlignment w:val="auto"/>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本单位业务管理制度健全，合法、合规、完整；项目实施严格遵守相关法律法规和业务管理规定；项目调整及支出调整手续完备；项目合同书、验收报告、技术鉴定等资料齐全并及时归档。</w:t>
      </w:r>
    </w:p>
    <w:p w14:paraId="21E6E0F5">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jc w:val="both"/>
        <w:textAlignment w:val="auto"/>
        <w:rPr>
          <w:rFonts w:hint="eastAsia" w:ascii="宋体" w:hAnsi="宋体" w:eastAsia="方正仿宋简体"/>
          <w:b/>
          <w:color w:val="000000"/>
          <w:sz w:val="32"/>
          <w:szCs w:val="32"/>
          <w:lang w:val="en-US" w:eastAsia="zh-CN"/>
        </w:rPr>
      </w:pPr>
      <w:r>
        <w:rPr>
          <w:rFonts w:hint="eastAsia" w:ascii="宋体" w:hAnsi="宋体" w:eastAsia="方正仿宋简体"/>
          <w:b/>
          <w:color w:val="000000"/>
          <w:sz w:val="32"/>
          <w:szCs w:val="32"/>
          <w:lang w:val="en-US" w:eastAsia="zh-CN"/>
        </w:rPr>
        <w:t>（2）财务管理</w:t>
      </w:r>
    </w:p>
    <w:p w14:paraId="5DFBDEDD">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both"/>
        <w:textAlignment w:val="auto"/>
        <w:rPr>
          <w:rFonts w:hint="default" w:ascii="宋体" w:hAnsi="宋体" w:eastAsia="方正仿宋简体" w:cs="Times New Roman"/>
          <w:color w:val="000000"/>
          <w:kern w:val="0"/>
          <w:sz w:val="32"/>
          <w:szCs w:val="32"/>
          <w:lang w:val="en-US" w:eastAsia="zh-CN" w:bidi="ar-SA"/>
        </w:rPr>
      </w:pPr>
      <w:r>
        <w:rPr>
          <w:rFonts w:hint="eastAsia" w:ascii="宋体" w:hAnsi="宋体" w:eastAsia="方正仿宋简体" w:cs="Times New Roman"/>
          <w:color w:val="000000"/>
          <w:kern w:val="0"/>
          <w:sz w:val="32"/>
          <w:szCs w:val="32"/>
          <w:lang w:val="en-US" w:eastAsia="zh-CN" w:bidi="ar-SA"/>
        </w:rPr>
        <w:t>资金使用符合国家财经法规和财务管理制度以及有关专项资金管理办法的规定，资金支付有完整的审批程序，不存在截留、挤占、挪用、虚列支出等情况。</w:t>
      </w:r>
    </w:p>
    <w:p w14:paraId="4A06C371">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宋体" w:hAnsi="宋体" w:eastAsia="方正仿宋简体" w:cs="Times New Roman"/>
          <w:color w:val="000000"/>
          <w:kern w:val="0"/>
          <w:sz w:val="32"/>
          <w:szCs w:val="32"/>
        </w:rPr>
      </w:pPr>
      <w:r>
        <w:rPr>
          <w:rFonts w:hint="eastAsia" w:ascii="宋体" w:hAnsi="宋体" w:eastAsia="方正仿宋简体"/>
          <w:b/>
          <w:color w:val="000000"/>
          <w:kern w:val="0"/>
          <w:sz w:val="32"/>
          <w:szCs w:val="32"/>
          <w:lang w:val="en-US" w:eastAsia="zh-CN"/>
        </w:rPr>
        <w:t>3</w:t>
      </w:r>
      <w:r>
        <w:rPr>
          <w:rFonts w:hint="eastAsia" w:ascii="宋体" w:hAnsi="宋体" w:eastAsia="方正仿宋简体"/>
          <w:b/>
          <w:color w:val="000000"/>
          <w:kern w:val="0"/>
          <w:sz w:val="32"/>
          <w:szCs w:val="32"/>
        </w:rPr>
        <w:t>.</w:t>
      </w:r>
      <w:r>
        <w:rPr>
          <w:rFonts w:hint="eastAsia" w:ascii="宋体" w:hAnsi="宋体" w:eastAsia="方正仿宋简体"/>
          <w:b/>
          <w:color w:val="000000"/>
          <w:kern w:val="0"/>
          <w:sz w:val="32"/>
          <w:szCs w:val="32"/>
          <w:lang w:eastAsia="zh-CN"/>
        </w:rPr>
        <w:t>产出</w:t>
      </w:r>
      <w:r>
        <w:rPr>
          <w:rFonts w:hint="eastAsia" w:ascii="宋体" w:hAnsi="宋体" w:eastAsia="方正仿宋简体"/>
          <w:b/>
          <w:color w:val="000000"/>
          <w:kern w:val="0"/>
          <w:sz w:val="32"/>
          <w:szCs w:val="32"/>
        </w:rPr>
        <w:t>指标分析</w:t>
      </w:r>
      <w:r>
        <w:rPr>
          <w:rFonts w:hint="default" w:ascii="宋体" w:hAnsi="宋体" w:eastAsia="方正仿宋简体" w:cs="Times New Roman"/>
          <w:color w:val="000000"/>
          <w:kern w:val="0"/>
          <w:sz w:val="32"/>
          <w:szCs w:val="32"/>
        </w:rPr>
        <w:t>（总分</w:t>
      </w:r>
      <w:r>
        <w:rPr>
          <w:rFonts w:hint="default" w:ascii="宋体" w:hAnsi="宋体" w:eastAsia="方正仿宋简体" w:cs="Times New Roman"/>
          <w:color w:val="000000"/>
          <w:kern w:val="0"/>
          <w:sz w:val="32"/>
          <w:szCs w:val="32"/>
          <w:lang w:val="en-US" w:eastAsia="zh-CN"/>
        </w:rPr>
        <w:t>20</w:t>
      </w:r>
      <w:r>
        <w:rPr>
          <w:rFonts w:hint="default" w:ascii="宋体" w:hAnsi="宋体" w:eastAsia="方正仿宋简体" w:cs="Times New Roman"/>
          <w:color w:val="000000"/>
          <w:kern w:val="0"/>
          <w:sz w:val="32"/>
          <w:szCs w:val="32"/>
        </w:rPr>
        <w:t>分，得分</w:t>
      </w:r>
      <w:r>
        <w:rPr>
          <w:rFonts w:hint="default" w:ascii="宋体" w:hAnsi="宋体" w:eastAsia="方正仿宋简体" w:cs="Times New Roman"/>
          <w:color w:val="000000"/>
          <w:kern w:val="0"/>
          <w:sz w:val="32"/>
          <w:szCs w:val="32"/>
          <w:lang w:val="en-US" w:eastAsia="zh-CN"/>
        </w:rPr>
        <w:t>20</w:t>
      </w:r>
      <w:r>
        <w:rPr>
          <w:rFonts w:hint="default" w:ascii="宋体" w:hAnsi="宋体" w:eastAsia="方正仿宋简体" w:cs="Times New Roman"/>
          <w:color w:val="000000"/>
          <w:kern w:val="0"/>
          <w:sz w:val="32"/>
          <w:szCs w:val="32"/>
        </w:rPr>
        <w:t>分）</w:t>
      </w:r>
    </w:p>
    <w:p w14:paraId="667CF8CA">
      <w:pPr>
        <w:rPr>
          <w:rFonts w:hint="eastAsia" w:ascii="宋体" w:hAnsi="宋体" w:eastAsia="方正仿宋简体" w:cs="Times New Roman"/>
          <w:color w:val="000000"/>
          <w:kern w:val="0"/>
          <w:sz w:val="32"/>
          <w:szCs w:val="32"/>
          <w:lang w:val="en-US" w:eastAsia="zh-CN" w:bidi="ar-SA"/>
        </w:rPr>
      </w:pPr>
      <w:r>
        <w:rPr>
          <w:rFonts w:hint="eastAsia" w:ascii="宋体" w:hAnsi="宋体" w:eastAsia="方正仿宋简体"/>
          <w:b/>
          <w:color w:val="000000"/>
          <w:kern w:val="0"/>
          <w:sz w:val="32"/>
          <w:szCs w:val="32"/>
          <w:lang w:val="en-US" w:eastAsia="zh-CN"/>
        </w:rPr>
        <w:t>数量指标：</w:t>
      </w:r>
      <w:r>
        <w:rPr>
          <w:rFonts w:hint="eastAsia" w:ascii="宋体" w:hAnsi="宋体" w:eastAsia="方正仿宋简体" w:cs="Times New Roman"/>
          <w:color w:val="000000"/>
          <w:kern w:val="0"/>
          <w:sz w:val="32"/>
          <w:szCs w:val="32"/>
          <w:lang w:val="en-US" w:eastAsia="zh-CN" w:bidi="ar-SA"/>
        </w:rPr>
        <w:t>市领导小组、市扫黑办专题研究近20次开展调研督导近20次，重点行业领域专题督导3次，常态化扫黑除恶综合督导2轮。</w:t>
      </w:r>
    </w:p>
    <w:p w14:paraId="2D02C84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宋体" w:hAnsi="宋体" w:eastAsia="方正仿宋简体"/>
          <w:color w:val="000000"/>
          <w:sz w:val="32"/>
          <w:szCs w:val="32"/>
        </w:rPr>
      </w:pPr>
      <w:r>
        <w:rPr>
          <w:rFonts w:hint="eastAsia" w:ascii="宋体" w:hAnsi="宋体" w:eastAsia="方正仿宋简体"/>
          <w:b/>
          <w:color w:val="000000"/>
          <w:kern w:val="0"/>
          <w:sz w:val="32"/>
          <w:szCs w:val="32"/>
          <w:lang w:val="en-US" w:eastAsia="zh-CN"/>
        </w:rPr>
        <w:t>4</w:t>
      </w:r>
      <w:r>
        <w:rPr>
          <w:rFonts w:hint="eastAsia" w:ascii="宋体" w:hAnsi="宋体" w:eastAsia="方正仿宋简体"/>
          <w:b/>
          <w:color w:val="000000"/>
          <w:kern w:val="0"/>
          <w:sz w:val="32"/>
          <w:szCs w:val="32"/>
        </w:rPr>
        <w:t>.</w:t>
      </w:r>
      <w:r>
        <w:rPr>
          <w:rFonts w:hint="eastAsia" w:ascii="宋体" w:hAnsi="宋体" w:eastAsia="方正仿宋简体"/>
          <w:b/>
          <w:color w:val="000000"/>
          <w:kern w:val="0"/>
          <w:sz w:val="32"/>
          <w:szCs w:val="32"/>
          <w:lang w:eastAsia="zh-CN"/>
        </w:rPr>
        <w:t>效果</w:t>
      </w:r>
      <w:r>
        <w:rPr>
          <w:rFonts w:hint="eastAsia" w:ascii="宋体" w:hAnsi="宋体" w:eastAsia="方正仿宋简体"/>
          <w:b/>
          <w:color w:val="000000"/>
          <w:kern w:val="0"/>
          <w:sz w:val="32"/>
          <w:szCs w:val="32"/>
        </w:rPr>
        <w:t>指标分析</w:t>
      </w:r>
      <w:r>
        <w:rPr>
          <w:rFonts w:hint="eastAsia" w:ascii="宋体" w:hAnsi="宋体" w:eastAsia="方正仿宋简体"/>
          <w:color w:val="000000"/>
          <w:kern w:val="0"/>
          <w:sz w:val="32"/>
          <w:szCs w:val="32"/>
        </w:rPr>
        <w:t>（总分</w:t>
      </w:r>
      <w:r>
        <w:rPr>
          <w:rFonts w:ascii="宋体" w:hAnsi="宋体" w:eastAsia="方正仿宋简体" w:cs="Times New Roman"/>
          <w:color w:val="000000"/>
          <w:kern w:val="0"/>
          <w:sz w:val="32"/>
          <w:szCs w:val="32"/>
        </w:rPr>
        <w:t>30分，得分</w:t>
      </w:r>
      <w:r>
        <w:rPr>
          <w:rFonts w:hint="eastAsia" w:ascii="宋体" w:hAnsi="宋体" w:eastAsia="方正仿宋简体" w:cs="Times New Roman"/>
          <w:color w:val="000000"/>
          <w:kern w:val="0"/>
          <w:sz w:val="32"/>
          <w:szCs w:val="32"/>
          <w:lang w:val="en-US" w:eastAsia="zh-CN"/>
        </w:rPr>
        <w:t>30</w:t>
      </w:r>
      <w:r>
        <w:rPr>
          <w:rFonts w:hint="eastAsia" w:ascii="宋体" w:hAnsi="宋体" w:eastAsia="方正仿宋简体"/>
          <w:color w:val="000000"/>
          <w:kern w:val="0"/>
          <w:sz w:val="32"/>
          <w:szCs w:val="32"/>
        </w:rPr>
        <w:t>分）</w:t>
      </w:r>
    </w:p>
    <w:p w14:paraId="5B7AA52C">
      <w:pPr>
        <w:pStyle w:val="2"/>
        <w:keepNext w:val="0"/>
        <w:keepLines w:val="0"/>
        <w:pageBreakBefore w:val="0"/>
        <w:widowControl w:val="0"/>
        <w:kinsoku/>
        <w:wordWrap/>
        <w:overflowPunct/>
        <w:topLinePunct w:val="0"/>
        <w:autoSpaceDE/>
        <w:autoSpaceDN/>
        <w:bidi w:val="0"/>
        <w:adjustRightInd/>
        <w:snapToGrid/>
        <w:spacing w:after="0" w:line="600" w:lineRule="exact"/>
        <w:ind w:left="638" w:leftChars="304" w:firstLine="0" w:firstLineChars="0"/>
        <w:textAlignment w:val="auto"/>
        <w:rPr>
          <w:rFonts w:hint="eastAsia" w:ascii="宋体" w:hAnsi="宋体" w:eastAsia="方正仿宋简体" w:cs="Times New Roman"/>
          <w:color w:val="000000"/>
          <w:kern w:val="0"/>
          <w:sz w:val="32"/>
          <w:szCs w:val="32"/>
          <w:lang w:val="en-US" w:eastAsia="zh-CN" w:bidi="ar-SA"/>
        </w:rPr>
      </w:pPr>
      <w:r>
        <w:rPr>
          <w:rFonts w:hint="eastAsia" w:ascii="宋体" w:hAnsi="宋体" w:eastAsia="方正仿宋简体" w:cs="Times New Roman"/>
          <w:color w:val="000000"/>
          <w:kern w:val="0"/>
          <w:sz w:val="32"/>
          <w:szCs w:val="32"/>
          <w:lang w:val="en-US" w:eastAsia="zh-CN" w:bidi="ar-SA"/>
        </w:rPr>
        <w:t>社会效益：有效发动广大干部群众积极参与扫黑除恶斗；</w:t>
      </w:r>
    </w:p>
    <w:p w14:paraId="31E316FC">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宋体" w:hAnsi="宋体"/>
          <w:lang w:eastAsia="zh-CN"/>
        </w:rPr>
      </w:pPr>
      <w:r>
        <w:rPr>
          <w:rFonts w:hint="eastAsia" w:ascii="宋体" w:hAnsi="宋体" w:eastAsia="方正仿宋简体" w:cs="Times New Roman"/>
          <w:color w:val="000000"/>
          <w:kern w:val="0"/>
          <w:sz w:val="32"/>
          <w:szCs w:val="32"/>
          <w:lang w:val="en-US" w:eastAsia="zh-CN" w:bidi="ar-SA"/>
        </w:rPr>
        <w:t>满意度指标：群众对扫黑除恶专项斗争满意度指标大于90%以上。</w:t>
      </w:r>
    </w:p>
    <w:p w14:paraId="1DAB70DB">
      <w:pPr>
        <w:pStyle w:val="2"/>
        <w:keepNext w:val="0"/>
        <w:keepLines w:val="0"/>
        <w:pageBreakBefore w:val="0"/>
        <w:widowControl w:val="0"/>
        <w:kinsoku/>
        <w:wordWrap/>
        <w:overflowPunct/>
        <w:topLinePunct w:val="0"/>
        <w:autoSpaceDE/>
        <w:autoSpaceDN/>
        <w:bidi w:val="0"/>
        <w:snapToGrid/>
        <w:spacing w:after="0" w:line="620" w:lineRule="exact"/>
        <w:ind w:firstLine="627" w:firstLineChars="196"/>
        <w:textAlignment w:val="auto"/>
        <w:rPr>
          <w:rFonts w:ascii="宋体" w:hAnsi="宋体" w:eastAsia="方正黑体简体"/>
          <w:sz w:val="32"/>
          <w:szCs w:val="32"/>
        </w:rPr>
      </w:pPr>
      <w:r>
        <w:rPr>
          <w:rFonts w:ascii="宋体" w:hAnsi="宋体" w:eastAsia="方正黑体简体"/>
          <w:sz w:val="32"/>
          <w:szCs w:val="32"/>
        </w:rPr>
        <w:t>五、主要经验及做法、存在的问题和建议</w:t>
      </w:r>
    </w:p>
    <w:p w14:paraId="43C890E4">
      <w:pPr>
        <w:keepNext w:val="0"/>
        <w:keepLines w:val="0"/>
        <w:pageBreakBefore w:val="0"/>
        <w:widowControl w:val="0"/>
        <w:kinsoku/>
        <w:wordWrap/>
        <w:overflowPunct/>
        <w:topLinePunct w:val="0"/>
        <w:autoSpaceDE/>
        <w:autoSpaceDN/>
        <w:bidi w:val="0"/>
        <w:adjustRightInd w:val="0"/>
        <w:snapToGrid/>
        <w:spacing w:line="590" w:lineRule="exact"/>
        <w:ind w:firstLine="660" w:firstLineChars="200"/>
        <w:textAlignment w:val="auto"/>
        <w:rPr>
          <w:rFonts w:hint="eastAsia" w:ascii="宋体" w:hAnsi="宋体" w:eastAsia="方正仿宋_GBK"/>
          <w:sz w:val="33"/>
          <w:szCs w:val="33"/>
        </w:rPr>
      </w:pPr>
      <w:r>
        <w:rPr>
          <w:rFonts w:hint="eastAsia" w:ascii="宋体" w:hAnsi="宋体" w:eastAsia="方正仿宋_GBK"/>
          <w:sz w:val="33"/>
          <w:szCs w:val="33"/>
        </w:rPr>
        <w:t>无</w:t>
      </w:r>
    </w:p>
    <w:p w14:paraId="7153AC2A">
      <w:pPr>
        <w:keepNext w:val="0"/>
        <w:keepLines w:val="0"/>
        <w:pageBreakBefore w:val="0"/>
        <w:widowControl w:val="0"/>
        <w:kinsoku/>
        <w:wordWrap/>
        <w:overflowPunct/>
        <w:topLinePunct w:val="0"/>
        <w:autoSpaceDE/>
        <w:autoSpaceDN/>
        <w:bidi w:val="0"/>
        <w:snapToGrid/>
        <w:textAlignment w:val="auto"/>
        <w:rPr>
          <w:rFonts w:hint="eastAsia" w:ascii="宋体" w:hAnsi="宋体"/>
        </w:rPr>
      </w:pPr>
    </w:p>
    <w:p w14:paraId="7FB835AB">
      <w:pPr>
        <w:pStyle w:val="2"/>
        <w:keepNext w:val="0"/>
        <w:keepLines w:val="0"/>
        <w:pageBreakBefore w:val="0"/>
        <w:widowControl w:val="0"/>
        <w:kinsoku/>
        <w:wordWrap/>
        <w:overflowPunct/>
        <w:topLinePunct w:val="0"/>
        <w:autoSpaceDE/>
        <w:autoSpaceDN/>
        <w:bidi w:val="0"/>
        <w:snapToGrid/>
        <w:spacing w:after="0" w:line="620" w:lineRule="exact"/>
        <w:ind w:firstLine="627" w:firstLineChars="196"/>
        <w:textAlignment w:val="auto"/>
        <w:rPr>
          <w:rFonts w:ascii="宋体" w:hAnsi="宋体" w:eastAsia="方正仿宋简体"/>
          <w:color w:val="000000"/>
          <w:kern w:val="0"/>
          <w:sz w:val="32"/>
          <w:szCs w:val="32"/>
        </w:rPr>
      </w:pPr>
      <w:r>
        <w:rPr>
          <w:rFonts w:ascii="宋体" w:hAnsi="宋体" w:eastAsia="方正仿宋简体"/>
          <w:sz w:val="32"/>
          <w:szCs w:val="32"/>
        </w:rPr>
        <w:t>附：</w:t>
      </w:r>
      <w:r>
        <w:rPr>
          <w:rFonts w:ascii="宋体" w:hAnsi="宋体" w:eastAsia="方正仿宋简体"/>
          <w:color w:val="000000"/>
          <w:kern w:val="0"/>
          <w:sz w:val="32"/>
          <w:szCs w:val="32"/>
        </w:rPr>
        <w:t>1．20</w:t>
      </w:r>
      <w:r>
        <w:rPr>
          <w:rFonts w:hint="eastAsia" w:ascii="宋体" w:hAnsi="宋体" w:eastAsia="方正仿宋简体"/>
          <w:color w:val="000000"/>
          <w:kern w:val="0"/>
          <w:sz w:val="32"/>
          <w:szCs w:val="32"/>
        </w:rPr>
        <w:t>2</w:t>
      </w:r>
      <w:r>
        <w:rPr>
          <w:rFonts w:hint="eastAsia" w:ascii="宋体" w:hAnsi="宋体" w:eastAsia="方正仿宋简体"/>
          <w:color w:val="000000"/>
          <w:kern w:val="0"/>
          <w:sz w:val="32"/>
          <w:szCs w:val="32"/>
          <w:lang w:val="en-US" w:eastAsia="zh-CN"/>
        </w:rPr>
        <w:t>3</w:t>
      </w:r>
      <w:r>
        <w:rPr>
          <w:rFonts w:ascii="宋体" w:hAnsi="宋体" w:eastAsia="方正仿宋简体"/>
          <w:color w:val="000000"/>
          <w:kern w:val="0"/>
          <w:sz w:val="32"/>
          <w:szCs w:val="32"/>
        </w:rPr>
        <w:t>年度市本级项目支出绩效自评计分表</w:t>
      </w:r>
    </w:p>
    <w:p w14:paraId="2B895811">
      <w:pPr>
        <w:pStyle w:val="2"/>
        <w:keepNext w:val="0"/>
        <w:keepLines w:val="0"/>
        <w:pageBreakBefore w:val="0"/>
        <w:widowControl w:val="0"/>
        <w:kinsoku/>
        <w:wordWrap/>
        <w:overflowPunct/>
        <w:topLinePunct w:val="0"/>
        <w:autoSpaceDE/>
        <w:autoSpaceDN/>
        <w:bidi w:val="0"/>
        <w:snapToGrid/>
        <w:spacing w:after="0" w:line="620" w:lineRule="exact"/>
        <w:ind w:firstLine="1280" w:firstLineChars="400"/>
        <w:textAlignment w:val="auto"/>
        <w:rPr>
          <w:rFonts w:ascii="宋体" w:hAnsi="宋体" w:eastAsia="方正仿宋简体"/>
          <w:color w:val="000000"/>
          <w:kern w:val="0"/>
          <w:sz w:val="32"/>
          <w:szCs w:val="32"/>
        </w:rPr>
      </w:pPr>
      <w:r>
        <w:rPr>
          <w:rFonts w:ascii="宋体" w:hAnsi="宋体" w:eastAsia="方正仿宋简体"/>
          <w:sz w:val="32"/>
          <w:szCs w:val="32"/>
        </w:rPr>
        <w:t>2．</w:t>
      </w:r>
      <w:r>
        <w:rPr>
          <w:rFonts w:ascii="宋体" w:hAnsi="宋体" w:eastAsia="方正仿宋简体"/>
          <w:color w:val="000000"/>
          <w:kern w:val="0"/>
          <w:sz w:val="32"/>
          <w:szCs w:val="32"/>
        </w:rPr>
        <w:t>20</w:t>
      </w:r>
      <w:r>
        <w:rPr>
          <w:rFonts w:hint="eastAsia" w:ascii="宋体" w:hAnsi="宋体" w:eastAsia="方正仿宋简体"/>
          <w:color w:val="000000"/>
          <w:kern w:val="0"/>
          <w:sz w:val="32"/>
          <w:szCs w:val="32"/>
        </w:rPr>
        <w:t>2</w:t>
      </w:r>
      <w:r>
        <w:rPr>
          <w:rFonts w:hint="eastAsia" w:ascii="宋体" w:hAnsi="宋体" w:eastAsia="方正仿宋简体"/>
          <w:color w:val="000000"/>
          <w:kern w:val="0"/>
          <w:sz w:val="32"/>
          <w:szCs w:val="32"/>
          <w:lang w:val="en-US" w:eastAsia="zh-CN"/>
        </w:rPr>
        <w:t>3</w:t>
      </w:r>
      <w:r>
        <w:rPr>
          <w:rFonts w:ascii="宋体" w:hAnsi="宋体" w:eastAsia="方正仿宋简体"/>
          <w:color w:val="000000"/>
          <w:kern w:val="0"/>
          <w:sz w:val="32"/>
          <w:szCs w:val="32"/>
        </w:rPr>
        <w:t>年度市本级项目支出绩效目标完成情况表</w:t>
      </w:r>
    </w:p>
    <w:p w14:paraId="357C123D">
      <w:pPr>
        <w:keepNext w:val="0"/>
        <w:keepLines w:val="0"/>
        <w:pageBreakBefore w:val="0"/>
        <w:widowControl w:val="0"/>
        <w:kinsoku/>
        <w:wordWrap/>
        <w:overflowPunct/>
        <w:topLinePunct w:val="0"/>
        <w:autoSpaceDE/>
        <w:autoSpaceDN/>
        <w:bidi w:val="0"/>
        <w:snapToGrid/>
        <w:spacing w:line="620" w:lineRule="exact"/>
        <w:jc w:val="left"/>
        <w:textAlignment w:val="auto"/>
        <w:rPr>
          <w:rFonts w:ascii="宋体" w:hAnsi="宋体" w:eastAsia="方正黑体简体"/>
          <w:sz w:val="32"/>
          <w:szCs w:val="32"/>
        </w:rPr>
      </w:pPr>
    </w:p>
    <w:p w14:paraId="61E4A261">
      <w:pPr>
        <w:spacing w:line="620" w:lineRule="exact"/>
        <w:jc w:val="left"/>
        <w:rPr>
          <w:rFonts w:ascii="宋体" w:hAnsi="宋体" w:eastAsia="方正黑体简体"/>
          <w:sz w:val="32"/>
          <w:szCs w:val="32"/>
        </w:rPr>
      </w:pPr>
    </w:p>
    <w:p w14:paraId="116AC218">
      <w:pPr>
        <w:spacing w:line="620" w:lineRule="exact"/>
        <w:jc w:val="left"/>
        <w:rPr>
          <w:rFonts w:ascii="宋体" w:hAnsi="宋体" w:eastAsia="方正黑体简体"/>
          <w:sz w:val="32"/>
          <w:szCs w:val="32"/>
        </w:rPr>
      </w:pPr>
    </w:p>
    <w:p w14:paraId="0AE12C33">
      <w:pPr>
        <w:spacing w:line="620" w:lineRule="exact"/>
        <w:jc w:val="left"/>
        <w:rPr>
          <w:rFonts w:ascii="宋体" w:hAnsi="宋体" w:eastAsia="方正黑体简体"/>
          <w:sz w:val="32"/>
          <w:szCs w:val="32"/>
        </w:rPr>
      </w:pPr>
    </w:p>
    <w:p w14:paraId="2098937C">
      <w:pPr>
        <w:spacing w:line="620" w:lineRule="exact"/>
        <w:jc w:val="left"/>
        <w:rPr>
          <w:rFonts w:ascii="宋体" w:hAnsi="宋体" w:eastAsia="方正黑体简体"/>
          <w:sz w:val="32"/>
          <w:szCs w:val="32"/>
        </w:rPr>
      </w:pPr>
    </w:p>
    <w:p w14:paraId="499F876C">
      <w:pPr>
        <w:spacing w:line="620" w:lineRule="exact"/>
        <w:jc w:val="left"/>
        <w:rPr>
          <w:rFonts w:ascii="宋体" w:hAnsi="宋体" w:eastAsia="方正黑体简体"/>
          <w:sz w:val="32"/>
          <w:szCs w:val="32"/>
        </w:rPr>
      </w:pPr>
    </w:p>
    <w:p w14:paraId="2D8AF996">
      <w:pPr>
        <w:spacing w:line="620" w:lineRule="exact"/>
        <w:jc w:val="left"/>
        <w:rPr>
          <w:rFonts w:ascii="宋体" w:hAnsi="宋体" w:eastAsia="方正黑体简体"/>
          <w:sz w:val="32"/>
          <w:szCs w:val="32"/>
        </w:rPr>
      </w:pPr>
    </w:p>
    <w:p w14:paraId="72E00B8F">
      <w:pPr>
        <w:pStyle w:val="6"/>
        <w:rPr>
          <w:rFonts w:ascii="宋体" w:hAnsi="宋体" w:eastAsia="方正黑体简体"/>
          <w:sz w:val="32"/>
          <w:szCs w:val="32"/>
        </w:rPr>
      </w:pPr>
    </w:p>
    <w:p w14:paraId="5E98C298">
      <w:pPr>
        <w:rPr>
          <w:rFonts w:ascii="宋体" w:hAnsi="宋体" w:eastAsia="方正黑体简体"/>
          <w:sz w:val="32"/>
          <w:szCs w:val="32"/>
        </w:rPr>
      </w:pPr>
    </w:p>
    <w:p w14:paraId="3269B0B7">
      <w:pPr>
        <w:spacing w:line="620" w:lineRule="exact"/>
        <w:jc w:val="left"/>
        <w:rPr>
          <w:rFonts w:ascii="宋体" w:hAnsi="宋体" w:eastAsia="方正黑体简体"/>
          <w:sz w:val="32"/>
          <w:szCs w:val="32"/>
        </w:rPr>
      </w:pPr>
    </w:p>
    <w:p w14:paraId="2EB672B6">
      <w:pPr>
        <w:spacing w:line="620" w:lineRule="exact"/>
        <w:jc w:val="left"/>
        <w:rPr>
          <w:rFonts w:ascii="宋体" w:hAnsi="宋体" w:eastAsia="方正黑体简体"/>
          <w:sz w:val="32"/>
          <w:szCs w:val="32"/>
        </w:rPr>
      </w:pPr>
    </w:p>
    <w:p w14:paraId="7D921D0E">
      <w:pPr>
        <w:spacing w:line="620" w:lineRule="exact"/>
        <w:jc w:val="left"/>
        <w:rPr>
          <w:rFonts w:ascii="宋体" w:hAnsi="宋体" w:eastAsia="方正黑体简体"/>
          <w:sz w:val="32"/>
          <w:szCs w:val="32"/>
        </w:rPr>
      </w:pPr>
    </w:p>
    <w:p w14:paraId="4A27A5A0">
      <w:pPr>
        <w:spacing w:line="620" w:lineRule="exact"/>
        <w:jc w:val="left"/>
        <w:rPr>
          <w:rFonts w:hint="eastAsia" w:ascii="宋体" w:hAnsi="宋体" w:eastAsia="方正黑体简体"/>
          <w:sz w:val="32"/>
          <w:szCs w:val="32"/>
        </w:rPr>
      </w:pPr>
      <w:r>
        <w:rPr>
          <w:rFonts w:ascii="宋体" w:hAnsi="宋体" w:eastAsia="方正黑体简体"/>
          <w:sz w:val="32"/>
          <w:szCs w:val="32"/>
        </w:rPr>
        <w:t>附</w:t>
      </w:r>
      <w:r>
        <w:rPr>
          <w:rFonts w:hint="eastAsia" w:ascii="宋体" w:hAnsi="宋体" w:eastAsia="方正黑体简体"/>
          <w:sz w:val="32"/>
          <w:szCs w:val="32"/>
          <w:lang w:eastAsia="zh-CN"/>
        </w:rPr>
        <w:t>表</w:t>
      </w:r>
      <w:r>
        <w:rPr>
          <w:rFonts w:hint="eastAsia" w:ascii="宋体" w:hAnsi="宋体" w:eastAsia="方正黑体简体"/>
          <w:sz w:val="32"/>
          <w:szCs w:val="32"/>
          <w:lang w:val="en-US" w:eastAsia="zh-CN"/>
        </w:rPr>
        <w:t>4-</w:t>
      </w:r>
      <w:r>
        <w:rPr>
          <w:rFonts w:hint="eastAsia" w:ascii="宋体" w:hAnsi="宋体" w:eastAsia="方正黑体简体"/>
          <w:sz w:val="32"/>
          <w:szCs w:val="32"/>
        </w:rPr>
        <w:t>1</w:t>
      </w:r>
    </w:p>
    <w:p w14:paraId="4E5C68FE">
      <w:pPr>
        <w:pStyle w:val="2"/>
        <w:rPr>
          <w:rFonts w:hint="eastAsia"/>
        </w:rPr>
      </w:pPr>
    </w:p>
    <w:p w14:paraId="0DD18145">
      <w:pPr>
        <w:spacing w:line="620" w:lineRule="exact"/>
        <w:jc w:val="center"/>
        <w:rPr>
          <w:rFonts w:ascii="宋体" w:hAnsi="宋体" w:eastAsia="方正小标宋简体"/>
          <w:bCs/>
          <w:kern w:val="0"/>
          <w:sz w:val="40"/>
          <w:szCs w:val="40"/>
        </w:rPr>
      </w:pPr>
      <w:r>
        <w:rPr>
          <w:rFonts w:ascii="宋体" w:hAnsi="宋体" w:eastAsia="方正小标宋简体"/>
          <w:bCs/>
          <w:kern w:val="0"/>
          <w:sz w:val="40"/>
          <w:szCs w:val="40"/>
        </w:rPr>
        <w:t>20</w:t>
      </w:r>
      <w:r>
        <w:rPr>
          <w:rFonts w:hint="eastAsia" w:ascii="宋体" w:hAnsi="宋体" w:eastAsia="方正小标宋简体"/>
          <w:bCs/>
          <w:kern w:val="0"/>
          <w:sz w:val="40"/>
          <w:szCs w:val="40"/>
        </w:rPr>
        <w:t>2</w:t>
      </w:r>
      <w:r>
        <w:rPr>
          <w:rFonts w:hint="eastAsia" w:ascii="宋体" w:hAnsi="宋体" w:eastAsia="方正小标宋简体"/>
          <w:bCs/>
          <w:kern w:val="0"/>
          <w:sz w:val="40"/>
          <w:szCs w:val="40"/>
          <w:lang w:val="en-US" w:eastAsia="zh-CN"/>
        </w:rPr>
        <w:t>3</w:t>
      </w:r>
      <w:r>
        <w:rPr>
          <w:rFonts w:ascii="宋体" w:hAnsi="宋体" w:eastAsia="方正小标宋简体"/>
          <w:bCs/>
          <w:kern w:val="0"/>
          <w:sz w:val="40"/>
          <w:szCs w:val="40"/>
        </w:rPr>
        <w:t>年度市本级项目支出绩效自评计分表</w:t>
      </w:r>
    </w:p>
    <w:p w14:paraId="4604B681">
      <w:pPr>
        <w:spacing w:line="620" w:lineRule="exact"/>
        <w:jc w:val="center"/>
        <w:rPr>
          <w:rFonts w:ascii="宋体" w:hAnsi="宋体" w:eastAsia="楷体_GB2312"/>
          <w:b/>
          <w:bCs/>
          <w:kern w:val="0"/>
          <w:sz w:val="20"/>
          <w:szCs w:val="20"/>
        </w:rPr>
      </w:pPr>
      <w:r>
        <w:rPr>
          <w:rFonts w:ascii="宋体" w:hAnsi="宋体" w:eastAsia="楷体_GB2312"/>
          <w:b/>
          <w:bCs/>
          <w:kern w:val="0"/>
          <w:sz w:val="20"/>
          <w:szCs w:val="20"/>
        </w:rPr>
        <w:t>（</w:t>
      </w:r>
      <w:r>
        <w:rPr>
          <w:rFonts w:hint="eastAsia" w:ascii="宋体" w:hAnsi="宋体" w:eastAsia="楷体_GB2312"/>
          <w:b/>
          <w:bCs/>
          <w:kern w:val="0"/>
          <w:sz w:val="20"/>
          <w:szCs w:val="20"/>
        </w:rPr>
        <w:t>扫黑除恶专项工作经费</w:t>
      </w:r>
      <w:r>
        <w:rPr>
          <w:rFonts w:ascii="宋体" w:hAnsi="宋体" w:eastAsia="楷体_GB2312"/>
          <w:b/>
          <w:bCs/>
          <w:kern w:val="0"/>
          <w:sz w:val="20"/>
          <w:szCs w:val="20"/>
        </w:rPr>
        <w:t>）</w:t>
      </w:r>
    </w:p>
    <w:p w14:paraId="5727768D">
      <w:pPr>
        <w:spacing w:line="620" w:lineRule="exact"/>
        <w:rPr>
          <w:rFonts w:ascii="宋体" w:hAnsi="宋体" w:eastAsia="方正黑体简体"/>
          <w:sz w:val="32"/>
          <w:szCs w:val="32"/>
        </w:rPr>
      </w:pPr>
      <w:r>
        <w:rPr>
          <w:rFonts w:ascii="宋体" w:hAnsi="宋体" w:eastAsia="楷体_GB2312"/>
          <w:b/>
          <w:bCs/>
          <w:kern w:val="0"/>
          <w:sz w:val="20"/>
          <w:szCs w:val="20"/>
        </w:rPr>
        <w:t>预算单位名称：</w:t>
      </w:r>
      <w:r>
        <w:rPr>
          <w:rFonts w:hint="eastAsia" w:ascii="宋体" w:hAnsi="宋体" w:eastAsia="楷体_GB2312"/>
          <w:b/>
          <w:bCs/>
          <w:spacing w:val="-8"/>
          <w:kern w:val="0"/>
          <w:sz w:val="20"/>
          <w:szCs w:val="20"/>
        </w:rPr>
        <w:t xml:space="preserve">中共资阳市委政法委员会 </w:t>
      </w:r>
      <w:r>
        <w:rPr>
          <w:rFonts w:ascii="宋体" w:hAnsi="宋体" w:eastAsia="楷体_GB2312"/>
          <w:b/>
          <w:bCs/>
          <w:kern w:val="0"/>
          <w:sz w:val="20"/>
          <w:szCs w:val="20"/>
        </w:rPr>
        <w:t xml:space="preserve">  </w:t>
      </w:r>
      <w:r>
        <w:rPr>
          <w:rFonts w:hint="eastAsia" w:ascii="宋体" w:hAnsi="宋体" w:eastAsia="楷体_GB2312"/>
          <w:b/>
          <w:bCs/>
          <w:kern w:val="0"/>
          <w:sz w:val="20"/>
          <w:szCs w:val="20"/>
        </w:rPr>
        <w:t xml:space="preserve">     </w:t>
      </w:r>
      <w:r>
        <w:rPr>
          <w:rFonts w:ascii="宋体" w:hAnsi="宋体" w:eastAsia="楷体_GB2312"/>
          <w:b/>
          <w:bCs/>
          <w:kern w:val="0"/>
          <w:sz w:val="20"/>
          <w:szCs w:val="20"/>
        </w:rPr>
        <w:t>预算单位编码：</w:t>
      </w:r>
      <w:r>
        <w:rPr>
          <w:rFonts w:hint="eastAsia" w:ascii="宋体" w:hAnsi="宋体" w:eastAsia="楷体_GB2312"/>
          <w:b/>
          <w:bCs/>
          <w:kern w:val="0"/>
          <w:sz w:val="20"/>
          <w:szCs w:val="20"/>
        </w:rPr>
        <w:t xml:space="preserve">106001      </w:t>
      </w:r>
      <w:r>
        <w:rPr>
          <w:rFonts w:ascii="宋体" w:hAnsi="宋体" w:eastAsia="楷体_GB2312"/>
          <w:b/>
          <w:bCs/>
          <w:kern w:val="0"/>
          <w:sz w:val="20"/>
          <w:szCs w:val="20"/>
        </w:rPr>
        <w:t xml:space="preserve">  自评等级：</w:t>
      </w:r>
      <w:r>
        <w:rPr>
          <w:rFonts w:hint="eastAsia" w:ascii="宋体" w:hAnsi="宋体" w:eastAsia="楷体_GB2312"/>
          <w:b/>
          <w:bCs/>
          <w:kern w:val="0"/>
          <w:sz w:val="20"/>
          <w:szCs w:val="20"/>
        </w:rPr>
        <w:t>优</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83"/>
        <w:gridCol w:w="835"/>
        <w:gridCol w:w="1683"/>
        <w:gridCol w:w="3529"/>
        <w:gridCol w:w="816"/>
        <w:gridCol w:w="882"/>
      </w:tblGrid>
      <w:tr w14:paraId="0C1C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693" w:type="dxa"/>
            <w:shd w:val="clear" w:color="000000" w:fill="FFFFFF"/>
            <w:noWrap w:val="0"/>
            <w:vAlign w:val="center"/>
          </w:tcPr>
          <w:p w14:paraId="39D0951B">
            <w:pPr>
              <w:widowControl/>
              <w:jc w:val="center"/>
              <w:rPr>
                <w:rFonts w:ascii="宋体" w:hAnsi="宋体"/>
                <w:b/>
                <w:bCs/>
                <w:kern w:val="0"/>
                <w:sz w:val="20"/>
                <w:szCs w:val="20"/>
              </w:rPr>
            </w:pPr>
            <w:r>
              <w:rPr>
                <w:rFonts w:ascii="宋体" w:hAnsi="宋体"/>
                <w:b/>
                <w:bCs/>
                <w:kern w:val="0"/>
                <w:sz w:val="20"/>
                <w:szCs w:val="20"/>
              </w:rPr>
              <w:t>一级</w:t>
            </w:r>
            <w:r>
              <w:rPr>
                <w:rFonts w:ascii="宋体" w:hAnsi="宋体"/>
                <w:b/>
                <w:bCs/>
                <w:kern w:val="0"/>
                <w:sz w:val="20"/>
                <w:szCs w:val="20"/>
              </w:rPr>
              <w:br w:type="textWrapping"/>
            </w:r>
            <w:r>
              <w:rPr>
                <w:rFonts w:ascii="宋体" w:hAnsi="宋体"/>
                <w:b/>
                <w:bCs/>
                <w:kern w:val="0"/>
                <w:sz w:val="20"/>
                <w:szCs w:val="20"/>
              </w:rPr>
              <w:t>指标</w:t>
            </w:r>
          </w:p>
        </w:tc>
        <w:tc>
          <w:tcPr>
            <w:tcW w:w="683" w:type="dxa"/>
            <w:shd w:val="clear" w:color="000000" w:fill="FFFFFF"/>
            <w:noWrap w:val="0"/>
            <w:vAlign w:val="center"/>
          </w:tcPr>
          <w:p w14:paraId="0FEBD550">
            <w:pPr>
              <w:widowControl/>
              <w:jc w:val="center"/>
              <w:rPr>
                <w:rFonts w:ascii="宋体" w:hAnsi="宋体"/>
                <w:b/>
                <w:bCs/>
                <w:kern w:val="0"/>
                <w:sz w:val="20"/>
                <w:szCs w:val="20"/>
              </w:rPr>
            </w:pPr>
            <w:r>
              <w:rPr>
                <w:rFonts w:ascii="宋体" w:hAnsi="宋体"/>
                <w:b/>
                <w:bCs/>
                <w:kern w:val="0"/>
                <w:sz w:val="20"/>
                <w:szCs w:val="20"/>
              </w:rPr>
              <w:t>二级</w:t>
            </w:r>
            <w:r>
              <w:rPr>
                <w:rFonts w:ascii="宋体" w:hAnsi="宋体"/>
                <w:b/>
                <w:bCs/>
                <w:kern w:val="0"/>
                <w:sz w:val="20"/>
                <w:szCs w:val="20"/>
              </w:rPr>
              <w:br w:type="textWrapping"/>
            </w:r>
            <w:r>
              <w:rPr>
                <w:rFonts w:ascii="宋体" w:hAnsi="宋体"/>
                <w:b/>
                <w:bCs/>
                <w:kern w:val="0"/>
                <w:sz w:val="20"/>
                <w:szCs w:val="20"/>
              </w:rPr>
              <w:t>指标</w:t>
            </w:r>
          </w:p>
        </w:tc>
        <w:tc>
          <w:tcPr>
            <w:tcW w:w="835" w:type="dxa"/>
            <w:shd w:val="clear" w:color="000000" w:fill="FFFFFF"/>
            <w:noWrap w:val="0"/>
            <w:vAlign w:val="center"/>
          </w:tcPr>
          <w:p w14:paraId="7D6CF6FA">
            <w:pPr>
              <w:widowControl/>
              <w:jc w:val="center"/>
              <w:rPr>
                <w:rFonts w:ascii="宋体" w:hAnsi="宋体"/>
                <w:b/>
                <w:bCs/>
                <w:kern w:val="0"/>
                <w:sz w:val="20"/>
                <w:szCs w:val="20"/>
              </w:rPr>
            </w:pPr>
            <w:r>
              <w:rPr>
                <w:rFonts w:ascii="宋体" w:hAnsi="宋体"/>
                <w:b/>
                <w:bCs/>
                <w:kern w:val="0"/>
                <w:sz w:val="20"/>
                <w:szCs w:val="20"/>
              </w:rPr>
              <w:t>三级</w:t>
            </w:r>
          </w:p>
          <w:p w14:paraId="07151B9E">
            <w:pPr>
              <w:widowControl/>
              <w:jc w:val="center"/>
              <w:rPr>
                <w:rFonts w:ascii="宋体" w:hAnsi="宋体"/>
                <w:b/>
                <w:bCs/>
                <w:kern w:val="0"/>
                <w:sz w:val="20"/>
                <w:szCs w:val="20"/>
              </w:rPr>
            </w:pPr>
            <w:r>
              <w:rPr>
                <w:rFonts w:ascii="宋体" w:hAnsi="宋体"/>
                <w:b/>
                <w:bCs/>
                <w:kern w:val="0"/>
                <w:sz w:val="20"/>
                <w:szCs w:val="20"/>
              </w:rPr>
              <w:t>指标</w:t>
            </w:r>
          </w:p>
        </w:tc>
        <w:tc>
          <w:tcPr>
            <w:tcW w:w="1683" w:type="dxa"/>
            <w:shd w:val="clear" w:color="000000" w:fill="FFFFFF"/>
            <w:noWrap w:val="0"/>
            <w:vAlign w:val="center"/>
          </w:tcPr>
          <w:p w14:paraId="6C8AC65D">
            <w:pPr>
              <w:widowControl/>
              <w:jc w:val="center"/>
              <w:rPr>
                <w:rFonts w:ascii="宋体" w:hAnsi="宋体"/>
                <w:b/>
                <w:bCs/>
                <w:kern w:val="0"/>
                <w:sz w:val="20"/>
                <w:szCs w:val="20"/>
              </w:rPr>
            </w:pPr>
            <w:r>
              <w:rPr>
                <w:rFonts w:ascii="宋体" w:hAnsi="宋体"/>
                <w:b/>
                <w:bCs/>
                <w:kern w:val="0"/>
                <w:sz w:val="20"/>
                <w:szCs w:val="20"/>
              </w:rPr>
              <w:t>指标解释</w:t>
            </w:r>
          </w:p>
        </w:tc>
        <w:tc>
          <w:tcPr>
            <w:tcW w:w="3529" w:type="dxa"/>
            <w:shd w:val="clear" w:color="000000" w:fill="FFFFFF"/>
            <w:noWrap w:val="0"/>
            <w:vAlign w:val="center"/>
          </w:tcPr>
          <w:p w14:paraId="2A1D3712">
            <w:pPr>
              <w:widowControl/>
              <w:jc w:val="center"/>
              <w:rPr>
                <w:rFonts w:ascii="宋体" w:hAnsi="宋体"/>
                <w:b/>
                <w:bCs/>
                <w:kern w:val="0"/>
                <w:sz w:val="20"/>
                <w:szCs w:val="20"/>
              </w:rPr>
            </w:pPr>
            <w:r>
              <w:rPr>
                <w:rFonts w:ascii="宋体" w:hAnsi="宋体"/>
                <w:b/>
                <w:bCs/>
                <w:kern w:val="0"/>
                <w:sz w:val="20"/>
                <w:szCs w:val="20"/>
              </w:rPr>
              <w:t>指标说明（评价计分标准）</w:t>
            </w:r>
          </w:p>
        </w:tc>
        <w:tc>
          <w:tcPr>
            <w:tcW w:w="816" w:type="dxa"/>
            <w:shd w:val="clear" w:color="000000" w:fill="FFFFFF"/>
            <w:noWrap w:val="0"/>
            <w:vAlign w:val="center"/>
          </w:tcPr>
          <w:p w14:paraId="20E7B562">
            <w:pPr>
              <w:widowControl/>
              <w:jc w:val="center"/>
              <w:rPr>
                <w:rFonts w:ascii="宋体" w:hAnsi="宋体"/>
                <w:b/>
                <w:bCs/>
                <w:kern w:val="0"/>
                <w:sz w:val="20"/>
                <w:szCs w:val="20"/>
              </w:rPr>
            </w:pPr>
            <w:r>
              <w:rPr>
                <w:rFonts w:ascii="宋体" w:hAnsi="宋体"/>
                <w:b/>
                <w:bCs/>
                <w:kern w:val="0"/>
                <w:sz w:val="20"/>
                <w:szCs w:val="20"/>
              </w:rPr>
              <w:t>自评</w:t>
            </w:r>
          </w:p>
          <w:p w14:paraId="7FB4DF49">
            <w:pPr>
              <w:widowControl/>
              <w:jc w:val="center"/>
              <w:rPr>
                <w:rFonts w:ascii="宋体" w:hAnsi="宋体"/>
                <w:b/>
                <w:bCs/>
                <w:kern w:val="0"/>
                <w:sz w:val="20"/>
                <w:szCs w:val="20"/>
              </w:rPr>
            </w:pPr>
            <w:r>
              <w:rPr>
                <w:rFonts w:ascii="宋体" w:hAnsi="宋体"/>
                <w:b/>
                <w:bCs/>
                <w:kern w:val="0"/>
                <w:sz w:val="20"/>
                <w:szCs w:val="20"/>
              </w:rPr>
              <w:t>分数</w:t>
            </w:r>
          </w:p>
        </w:tc>
        <w:tc>
          <w:tcPr>
            <w:tcW w:w="882" w:type="dxa"/>
            <w:shd w:val="clear" w:color="000000" w:fill="FFFFFF"/>
            <w:noWrap w:val="0"/>
            <w:vAlign w:val="center"/>
          </w:tcPr>
          <w:p w14:paraId="713DE84D">
            <w:pPr>
              <w:widowControl/>
              <w:jc w:val="center"/>
              <w:rPr>
                <w:rFonts w:ascii="宋体" w:hAnsi="宋体"/>
                <w:b/>
                <w:bCs/>
                <w:kern w:val="0"/>
                <w:sz w:val="20"/>
                <w:szCs w:val="20"/>
              </w:rPr>
            </w:pPr>
            <w:r>
              <w:rPr>
                <w:rFonts w:ascii="宋体" w:hAnsi="宋体"/>
                <w:b/>
                <w:bCs/>
                <w:kern w:val="0"/>
                <w:sz w:val="20"/>
                <w:szCs w:val="20"/>
              </w:rPr>
              <w:t>自评依据及说明</w:t>
            </w:r>
          </w:p>
        </w:tc>
      </w:tr>
      <w:tr w14:paraId="25D9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693" w:type="dxa"/>
            <w:vMerge w:val="restart"/>
            <w:shd w:val="clear" w:color="000000" w:fill="FFFFFF"/>
            <w:noWrap w:val="0"/>
            <w:textDirection w:val="tbRlV"/>
            <w:vAlign w:val="center"/>
          </w:tcPr>
          <w:p w14:paraId="4D276D3A">
            <w:pPr>
              <w:widowControl/>
              <w:jc w:val="center"/>
              <w:rPr>
                <w:rFonts w:ascii="宋体" w:hAnsi="宋体"/>
                <w:kern w:val="0"/>
                <w:sz w:val="20"/>
                <w:szCs w:val="20"/>
              </w:rPr>
            </w:pPr>
            <w:r>
              <w:rPr>
                <w:rFonts w:ascii="宋体" w:hAnsi="宋体"/>
                <w:kern w:val="0"/>
                <w:sz w:val="20"/>
                <w:szCs w:val="20"/>
              </w:rPr>
              <w:t>投   入（25分）</w:t>
            </w:r>
          </w:p>
        </w:tc>
        <w:tc>
          <w:tcPr>
            <w:tcW w:w="683" w:type="dxa"/>
            <w:vMerge w:val="restart"/>
            <w:shd w:val="clear" w:color="000000" w:fill="FFFFFF"/>
            <w:noWrap w:val="0"/>
            <w:vAlign w:val="center"/>
          </w:tcPr>
          <w:p w14:paraId="11161465">
            <w:pPr>
              <w:widowControl/>
              <w:jc w:val="center"/>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立项（15分）</w:t>
            </w:r>
          </w:p>
        </w:tc>
        <w:tc>
          <w:tcPr>
            <w:tcW w:w="835" w:type="dxa"/>
            <w:shd w:val="clear" w:color="000000" w:fill="FFFFFF"/>
            <w:noWrap w:val="0"/>
            <w:vAlign w:val="center"/>
          </w:tcPr>
          <w:p w14:paraId="27A22123">
            <w:pPr>
              <w:widowControl/>
              <w:jc w:val="left"/>
              <w:rPr>
                <w:rFonts w:ascii="宋体" w:hAnsi="宋体"/>
                <w:kern w:val="0"/>
                <w:sz w:val="20"/>
                <w:szCs w:val="20"/>
              </w:rPr>
            </w:pPr>
            <w:r>
              <w:rPr>
                <w:rFonts w:ascii="宋体" w:hAnsi="宋体"/>
                <w:kern w:val="0"/>
                <w:sz w:val="20"/>
                <w:szCs w:val="20"/>
              </w:rPr>
              <w:t>项目立项规范性（5分）</w:t>
            </w:r>
          </w:p>
        </w:tc>
        <w:tc>
          <w:tcPr>
            <w:tcW w:w="1683" w:type="dxa"/>
            <w:shd w:val="clear" w:color="000000" w:fill="FFFFFF"/>
            <w:noWrap w:val="0"/>
            <w:vAlign w:val="center"/>
          </w:tcPr>
          <w:p w14:paraId="4E17C799">
            <w:pPr>
              <w:widowControl/>
              <w:jc w:val="both"/>
              <w:rPr>
                <w:rFonts w:ascii="宋体" w:hAnsi="宋体"/>
                <w:kern w:val="0"/>
                <w:sz w:val="20"/>
                <w:szCs w:val="20"/>
              </w:rPr>
            </w:pPr>
            <w:r>
              <w:rPr>
                <w:rFonts w:ascii="宋体" w:hAnsi="宋体"/>
                <w:kern w:val="0"/>
                <w:sz w:val="20"/>
                <w:szCs w:val="20"/>
              </w:rPr>
              <w:t>项目的申请、设立过程是否符合相关要求，用以反映和考核项目立项的规范情况。</w:t>
            </w:r>
          </w:p>
        </w:tc>
        <w:tc>
          <w:tcPr>
            <w:tcW w:w="3529" w:type="dxa"/>
            <w:shd w:val="clear" w:color="000000" w:fill="FFFFFF"/>
            <w:noWrap w:val="0"/>
            <w:vAlign w:val="center"/>
          </w:tcPr>
          <w:p w14:paraId="5D9C1359">
            <w:pPr>
              <w:widowControl/>
              <w:jc w:val="both"/>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项目是否按照规定的程序申请设立；（1分）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所提交的文件、材料是否符合相关要求；（2分）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事前是否已经过必要的可行性研究、专家论证、风险评估、集体决策等。（2分）</w:t>
            </w:r>
          </w:p>
        </w:tc>
        <w:tc>
          <w:tcPr>
            <w:tcW w:w="816" w:type="dxa"/>
            <w:noWrap w:val="0"/>
            <w:vAlign w:val="center"/>
          </w:tcPr>
          <w:p w14:paraId="0BEA3E09">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82" w:type="dxa"/>
            <w:noWrap w:val="0"/>
            <w:vAlign w:val="center"/>
          </w:tcPr>
          <w:p w14:paraId="3CC0C4CA">
            <w:pPr>
              <w:widowControl/>
              <w:jc w:val="left"/>
              <w:rPr>
                <w:rFonts w:ascii="宋体" w:hAnsi="宋体"/>
                <w:kern w:val="0"/>
                <w:sz w:val="24"/>
              </w:rPr>
            </w:pPr>
            <w:r>
              <w:rPr>
                <w:rFonts w:ascii="宋体" w:hAnsi="宋体"/>
                <w:kern w:val="0"/>
                <w:sz w:val="24"/>
              </w:rPr>
              <w:t>　</w:t>
            </w:r>
          </w:p>
        </w:tc>
      </w:tr>
      <w:tr w14:paraId="20B5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693" w:type="dxa"/>
            <w:vMerge w:val="continue"/>
            <w:shd w:val="clear" w:color="auto" w:fill="auto"/>
            <w:noWrap w:val="0"/>
            <w:vAlign w:val="center"/>
          </w:tcPr>
          <w:p w14:paraId="0043BB93">
            <w:pPr>
              <w:widowControl/>
              <w:jc w:val="left"/>
              <w:rPr>
                <w:rFonts w:ascii="宋体" w:hAnsi="宋体"/>
                <w:kern w:val="0"/>
                <w:sz w:val="20"/>
                <w:szCs w:val="20"/>
              </w:rPr>
            </w:pPr>
          </w:p>
        </w:tc>
        <w:tc>
          <w:tcPr>
            <w:tcW w:w="683" w:type="dxa"/>
            <w:vMerge w:val="continue"/>
            <w:shd w:val="clear" w:color="auto" w:fill="auto"/>
            <w:noWrap w:val="0"/>
            <w:vAlign w:val="center"/>
          </w:tcPr>
          <w:p w14:paraId="3C28481E">
            <w:pPr>
              <w:widowControl/>
              <w:jc w:val="left"/>
              <w:rPr>
                <w:rFonts w:ascii="宋体" w:hAnsi="宋体"/>
                <w:kern w:val="0"/>
                <w:sz w:val="20"/>
                <w:szCs w:val="20"/>
              </w:rPr>
            </w:pPr>
          </w:p>
        </w:tc>
        <w:tc>
          <w:tcPr>
            <w:tcW w:w="835" w:type="dxa"/>
            <w:shd w:val="clear" w:color="000000" w:fill="FFFFFF"/>
            <w:noWrap w:val="0"/>
            <w:vAlign w:val="center"/>
          </w:tcPr>
          <w:p w14:paraId="73A0A900">
            <w:pPr>
              <w:widowControl/>
              <w:jc w:val="left"/>
              <w:rPr>
                <w:rFonts w:ascii="宋体" w:hAnsi="宋体"/>
                <w:kern w:val="0"/>
                <w:sz w:val="20"/>
                <w:szCs w:val="20"/>
              </w:rPr>
            </w:pPr>
            <w:r>
              <w:rPr>
                <w:rFonts w:ascii="宋体" w:hAnsi="宋体"/>
                <w:kern w:val="0"/>
                <w:sz w:val="20"/>
                <w:szCs w:val="20"/>
              </w:rPr>
              <w:t>绩效目标合理性（4分）</w:t>
            </w:r>
          </w:p>
        </w:tc>
        <w:tc>
          <w:tcPr>
            <w:tcW w:w="1683" w:type="dxa"/>
            <w:shd w:val="clear" w:color="000000" w:fill="FFFFFF"/>
            <w:noWrap w:val="0"/>
            <w:vAlign w:val="center"/>
          </w:tcPr>
          <w:p w14:paraId="6535BBAE">
            <w:pPr>
              <w:widowControl/>
              <w:jc w:val="both"/>
              <w:rPr>
                <w:rFonts w:ascii="宋体" w:hAnsi="宋体"/>
                <w:kern w:val="0"/>
                <w:sz w:val="20"/>
                <w:szCs w:val="20"/>
              </w:rPr>
            </w:pPr>
            <w:r>
              <w:rPr>
                <w:rFonts w:ascii="宋体" w:hAnsi="宋体"/>
                <w:kern w:val="0"/>
                <w:sz w:val="20"/>
                <w:szCs w:val="20"/>
              </w:rPr>
              <w:t>项目所设定的绩效目标是否依据充分，是否符合客观实际，用以反映和考核项目绩效目标与项目实施的相符情况。</w:t>
            </w:r>
          </w:p>
        </w:tc>
        <w:tc>
          <w:tcPr>
            <w:tcW w:w="3529" w:type="dxa"/>
            <w:shd w:val="clear" w:color="000000" w:fill="FFFFFF"/>
            <w:noWrap w:val="0"/>
            <w:vAlign w:val="center"/>
          </w:tcPr>
          <w:p w14:paraId="3A2AC2B6">
            <w:pPr>
              <w:widowControl/>
              <w:jc w:val="both"/>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是否符合国家相关法律法规、国民经济发展规划和党委政府决策；（1分）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是否与项目实施单位或委托单位职责密切相关；（1分）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项目是否为促进事业发展所必需；（1分）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项目预期产出效益和效果是否符合正常的业绩水平。（1分）</w:t>
            </w:r>
          </w:p>
        </w:tc>
        <w:tc>
          <w:tcPr>
            <w:tcW w:w="816" w:type="dxa"/>
            <w:noWrap w:val="0"/>
            <w:vAlign w:val="center"/>
          </w:tcPr>
          <w:p w14:paraId="05657EFC">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4</w:t>
            </w:r>
          </w:p>
        </w:tc>
        <w:tc>
          <w:tcPr>
            <w:tcW w:w="882" w:type="dxa"/>
            <w:noWrap w:val="0"/>
            <w:vAlign w:val="center"/>
          </w:tcPr>
          <w:p w14:paraId="5835E557">
            <w:pPr>
              <w:widowControl/>
              <w:jc w:val="left"/>
              <w:rPr>
                <w:rFonts w:ascii="宋体" w:hAnsi="宋体"/>
                <w:kern w:val="0"/>
                <w:sz w:val="24"/>
              </w:rPr>
            </w:pPr>
            <w:r>
              <w:rPr>
                <w:rFonts w:ascii="宋体" w:hAnsi="宋体"/>
                <w:kern w:val="0"/>
                <w:sz w:val="24"/>
              </w:rPr>
              <w:t>　</w:t>
            </w:r>
          </w:p>
        </w:tc>
      </w:tr>
      <w:tr w14:paraId="202F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693" w:type="dxa"/>
            <w:vMerge w:val="continue"/>
            <w:shd w:val="clear" w:color="auto" w:fill="auto"/>
            <w:noWrap w:val="0"/>
            <w:vAlign w:val="center"/>
          </w:tcPr>
          <w:p w14:paraId="53C7C9CA">
            <w:pPr>
              <w:widowControl/>
              <w:jc w:val="left"/>
              <w:rPr>
                <w:rFonts w:ascii="宋体" w:hAnsi="宋体"/>
                <w:kern w:val="0"/>
                <w:sz w:val="20"/>
                <w:szCs w:val="20"/>
              </w:rPr>
            </w:pPr>
          </w:p>
        </w:tc>
        <w:tc>
          <w:tcPr>
            <w:tcW w:w="683" w:type="dxa"/>
            <w:vMerge w:val="continue"/>
            <w:shd w:val="clear" w:color="auto" w:fill="auto"/>
            <w:noWrap w:val="0"/>
            <w:vAlign w:val="center"/>
          </w:tcPr>
          <w:p w14:paraId="60ABF55B">
            <w:pPr>
              <w:widowControl/>
              <w:jc w:val="left"/>
              <w:rPr>
                <w:rFonts w:ascii="宋体" w:hAnsi="宋体"/>
                <w:kern w:val="0"/>
                <w:sz w:val="20"/>
                <w:szCs w:val="20"/>
              </w:rPr>
            </w:pPr>
          </w:p>
        </w:tc>
        <w:tc>
          <w:tcPr>
            <w:tcW w:w="835" w:type="dxa"/>
            <w:shd w:val="clear" w:color="000000" w:fill="FFFFFF"/>
            <w:noWrap w:val="0"/>
            <w:vAlign w:val="center"/>
          </w:tcPr>
          <w:p w14:paraId="75EBB521">
            <w:pPr>
              <w:widowControl/>
              <w:jc w:val="left"/>
              <w:rPr>
                <w:rFonts w:ascii="宋体" w:hAnsi="宋体"/>
                <w:kern w:val="0"/>
                <w:sz w:val="20"/>
                <w:szCs w:val="20"/>
              </w:rPr>
            </w:pPr>
            <w:r>
              <w:rPr>
                <w:rFonts w:ascii="宋体" w:hAnsi="宋体"/>
                <w:kern w:val="0"/>
                <w:sz w:val="20"/>
                <w:szCs w:val="20"/>
              </w:rPr>
              <w:t>绩效指标明确性（6分）</w:t>
            </w:r>
          </w:p>
        </w:tc>
        <w:tc>
          <w:tcPr>
            <w:tcW w:w="1683" w:type="dxa"/>
            <w:shd w:val="clear" w:color="000000" w:fill="FFFFFF"/>
            <w:noWrap w:val="0"/>
            <w:vAlign w:val="center"/>
          </w:tcPr>
          <w:p w14:paraId="1C32227E">
            <w:pPr>
              <w:widowControl/>
              <w:jc w:val="both"/>
              <w:rPr>
                <w:rFonts w:ascii="宋体" w:hAnsi="宋体"/>
                <w:kern w:val="0"/>
                <w:sz w:val="20"/>
                <w:szCs w:val="20"/>
              </w:rPr>
            </w:pPr>
            <w:r>
              <w:rPr>
                <w:rFonts w:ascii="宋体" w:hAnsi="宋体"/>
                <w:kern w:val="0"/>
                <w:sz w:val="20"/>
                <w:szCs w:val="20"/>
              </w:rPr>
              <w:t>依据绩效目标设定的绩效指标是否清晰、细化、可衡量等，用以反映和考核项目绩效目标的明细化情况。</w:t>
            </w:r>
          </w:p>
        </w:tc>
        <w:tc>
          <w:tcPr>
            <w:tcW w:w="3529" w:type="dxa"/>
            <w:shd w:val="clear" w:color="000000" w:fill="FFFFFF"/>
            <w:noWrap w:val="0"/>
            <w:vAlign w:val="center"/>
          </w:tcPr>
          <w:p w14:paraId="0D26EA0D">
            <w:pPr>
              <w:widowControl/>
              <w:jc w:val="both"/>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是否将项目绩效目标细化分解为具体的绩效指标；（2分）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是否通过清晰、可衡量的指标值予以体现；（1分）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是否与项目年度任务数或计划数相对应；（1分）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是否与预算确定的项目投资额或资金量相匹配。（2分）</w:t>
            </w:r>
          </w:p>
        </w:tc>
        <w:tc>
          <w:tcPr>
            <w:tcW w:w="816" w:type="dxa"/>
            <w:noWrap w:val="0"/>
            <w:vAlign w:val="center"/>
          </w:tcPr>
          <w:p w14:paraId="3FF4A748">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6</w:t>
            </w:r>
          </w:p>
        </w:tc>
        <w:tc>
          <w:tcPr>
            <w:tcW w:w="882" w:type="dxa"/>
            <w:noWrap w:val="0"/>
            <w:vAlign w:val="center"/>
          </w:tcPr>
          <w:p w14:paraId="48481246">
            <w:pPr>
              <w:widowControl/>
              <w:jc w:val="left"/>
              <w:rPr>
                <w:rFonts w:ascii="宋体" w:hAnsi="宋体"/>
                <w:kern w:val="0"/>
                <w:sz w:val="24"/>
              </w:rPr>
            </w:pPr>
            <w:r>
              <w:rPr>
                <w:rFonts w:ascii="宋体" w:hAnsi="宋体"/>
                <w:kern w:val="0"/>
                <w:sz w:val="24"/>
              </w:rPr>
              <w:t>　</w:t>
            </w:r>
          </w:p>
        </w:tc>
      </w:tr>
      <w:tr w14:paraId="68C6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693" w:type="dxa"/>
            <w:vMerge w:val="continue"/>
            <w:shd w:val="clear" w:color="auto" w:fill="auto"/>
            <w:noWrap w:val="0"/>
            <w:vAlign w:val="center"/>
          </w:tcPr>
          <w:p w14:paraId="7E5B6693">
            <w:pPr>
              <w:widowControl/>
              <w:jc w:val="left"/>
              <w:rPr>
                <w:rFonts w:ascii="宋体" w:hAnsi="宋体"/>
                <w:kern w:val="0"/>
                <w:sz w:val="20"/>
                <w:szCs w:val="20"/>
              </w:rPr>
            </w:pPr>
          </w:p>
        </w:tc>
        <w:tc>
          <w:tcPr>
            <w:tcW w:w="683" w:type="dxa"/>
            <w:vMerge w:val="restart"/>
            <w:shd w:val="clear" w:color="000000" w:fill="FFFFFF"/>
            <w:noWrap w:val="0"/>
            <w:vAlign w:val="center"/>
          </w:tcPr>
          <w:p w14:paraId="39A45195">
            <w:pPr>
              <w:widowControl/>
              <w:jc w:val="center"/>
              <w:rPr>
                <w:rFonts w:ascii="宋体" w:hAnsi="宋体"/>
                <w:kern w:val="0"/>
                <w:sz w:val="20"/>
                <w:szCs w:val="20"/>
              </w:rPr>
            </w:pPr>
            <w:r>
              <w:rPr>
                <w:rFonts w:ascii="宋体" w:hAnsi="宋体"/>
                <w:kern w:val="0"/>
                <w:sz w:val="20"/>
                <w:szCs w:val="20"/>
              </w:rPr>
              <w:t>资金</w:t>
            </w:r>
            <w:r>
              <w:rPr>
                <w:rFonts w:ascii="宋体" w:hAnsi="宋体"/>
                <w:kern w:val="0"/>
                <w:sz w:val="20"/>
                <w:szCs w:val="20"/>
              </w:rPr>
              <w:br w:type="textWrapping"/>
            </w:r>
            <w:r>
              <w:rPr>
                <w:rFonts w:ascii="宋体" w:hAnsi="宋体"/>
                <w:kern w:val="0"/>
                <w:sz w:val="20"/>
                <w:szCs w:val="20"/>
              </w:rPr>
              <w:t>落实（10分）</w:t>
            </w:r>
          </w:p>
        </w:tc>
        <w:tc>
          <w:tcPr>
            <w:tcW w:w="835" w:type="dxa"/>
            <w:shd w:val="clear" w:color="000000" w:fill="FFFFFF"/>
            <w:noWrap w:val="0"/>
            <w:vAlign w:val="center"/>
          </w:tcPr>
          <w:p w14:paraId="14D2304A">
            <w:pPr>
              <w:widowControl/>
              <w:jc w:val="left"/>
              <w:rPr>
                <w:rFonts w:ascii="宋体" w:hAnsi="宋体"/>
                <w:kern w:val="0"/>
                <w:sz w:val="20"/>
                <w:szCs w:val="20"/>
              </w:rPr>
            </w:pPr>
            <w:r>
              <w:rPr>
                <w:rFonts w:ascii="宋体" w:hAnsi="宋体"/>
                <w:kern w:val="0"/>
                <w:sz w:val="20"/>
                <w:szCs w:val="20"/>
              </w:rPr>
              <w:t>资金到位率（5分）</w:t>
            </w:r>
          </w:p>
        </w:tc>
        <w:tc>
          <w:tcPr>
            <w:tcW w:w="1683" w:type="dxa"/>
            <w:shd w:val="clear" w:color="000000" w:fill="FFFFFF"/>
            <w:noWrap w:val="0"/>
            <w:vAlign w:val="center"/>
          </w:tcPr>
          <w:p w14:paraId="0959AF15">
            <w:pPr>
              <w:widowControl/>
              <w:jc w:val="both"/>
              <w:rPr>
                <w:rFonts w:ascii="宋体" w:hAnsi="宋体"/>
                <w:kern w:val="0"/>
                <w:sz w:val="20"/>
                <w:szCs w:val="20"/>
              </w:rPr>
            </w:pPr>
            <w:r>
              <w:rPr>
                <w:rFonts w:ascii="宋体" w:hAnsi="宋体"/>
                <w:kern w:val="0"/>
                <w:sz w:val="20"/>
                <w:szCs w:val="20"/>
              </w:rPr>
              <w:t>实际到位资金与计划投入资金的比率，用以反映和考核资金落实情况对项目实施的总体保障程度。</w:t>
            </w:r>
          </w:p>
        </w:tc>
        <w:tc>
          <w:tcPr>
            <w:tcW w:w="3529" w:type="dxa"/>
            <w:shd w:val="clear" w:color="000000" w:fill="FFFFFF"/>
            <w:noWrap w:val="0"/>
            <w:vAlign w:val="center"/>
          </w:tcPr>
          <w:p w14:paraId="0198581F">
            <w:pPr>
              <w:widowControl/>
              <w:jc w:val="both"/>
              <w:rPr>
                <w:rFonts w:ascii="宋体" w:hAnsi="宋体"/>
                <w:kern w:val="0"/>
                <w:sz w:val="20"/>
                <w:szCs w:val="20"/>
              </w:rPr>
            </w:pPr>
            <w:r>
              <w:rPr>
                <w:rFonts w:ascii="宋体" w:hAnsi="宋体"/>
                <w:kern w:val="0"/>
                <w:sz w:val="20"/>
                <w:szCs w:val="20"/>
              </w:rPr>
              <w:t>资金到位率=（实际到位资金/计划投入资金）×100%。（达到目标值得5分，每少一个百分点扣1分，扣完为止）</w:t>
            </w:r>
            <w:r>
              <w:rPr>
                <w:rFonts w:ascii="宋体" w:hAnsi="宋体"/>
                <w:kern w:val="0"/>
                <w:sz w:val="20"/>
                <w:szCs w:val="20"/>
              </w:rPr>
              <w:br w:type="textWrapping"/>
            </w:r>
            <w:r>
              <w:rPr>
                <w:rFonts w:ascii="宋体" w:hAnsi="宋体"/>
                <w:kern w:val="0"/>
                <w:sz w:val="20"/>
                <w:szCs w:val="20"/>
              </w:rPr>
              <w:t>实际到位资金：一定时期（本年度或项目期）内实际落实到具体项目的资金。</w:t>
            </w:r>
            <w:r>
              <w:rPr>
                <w:rFonts w:ascii="宋体" w:hAnsi="宋体"/>
                <w:kern w:val="0"/>
                <w:sz w:val="20"/>
                <w:szCs w:val="20"/>
              </w:rPr>
              <w:br w:type="textWrapping"/>
            </w:r>
            <w:r>
              <w:rPr>
                <w:rFonts w:ascii="宋体" w:hAnsi="宋体"/>
                <w:kern w:val="0"/>
                <w:sz w:val="20"/>
                <w:szCs w:val="20"/>
              </w:rPr>
              <w:t>计划投入资金：一定时期（本年度或项目期）内计划投入到具体项目的资金。</w:t>
            </w:r>
          </w:p>
        </w:tc>
        <w:tc>
          <w:tcPr>
            <w:tcW w:w="816" w:type="dxa"/>
            <w:noWrap w:val="0"/>
            <w:vAlign w:val="center"/>
          </w:tcPr>
          <w:p w14:paraId="49739C12">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82" w:type="dxa"/>
            <w:noWrap w:val="0"/>
            <w:vAlign w:val="center"/>
          </w:tcPr>
          <w:p w14:paraId="7C4B800E">
            <w:pPr>
              <w:widowControl/>
              <w:jc w:val="left"/>
              <w:rPr>
                <w:rFonts w:ascii="宋体" w:hAnsi="宋体"/>
                <w:kern w:val="0"/>
                <w:sz w:val="24"/>
              </w:rPr>
            </w:pPr>
            <w:r>
              <w:rPr>
                <w:rFonts w:ascii="宋体" w:hAnsi="宋体"/>
                <w:kern w:val="0"/>
                <w:sz w:val="24"/>
              </w:rPr>
              <w:t>　</w:t>
            </w:r>
          </w:p>
        </w:tc>
      </w:tr>
      <w:tr w14:paraId="554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93" w:type="dxa"/>
            <w:vMerge w:val="continue"/>
            <w:shd w:val="clear" w:color="auto" w:fill="auto"/>
            <w:noWrap w:val="0"/>
            <w:vAlign w:val="center"/>
          </w:tcPr>
          <w:p w14:paraId="3CE48B09">
            <w:pPr>
              <w:widowControl/>
              <w:jc w:val="left"/>
              <w:rPr>
                <w:rFonts w:ascii="宋体" w:hAnsi="宋体"/>
                <w:kern w:val="0"/>
                <w:sz w:val="20"/>
                <w:szCs w:val="20"/>
              </w:rPr>
            </w:pPr>
          </w:p>
        </w:tc>
        <w:tc>
          <w:tcPr>
            <w:tcW w:w="683" w:type="dxa"/>
            <w:vMerge w:val="continue"/>
            <w:shd w:val="clear" w:color="auto" w:fill="auto"/>
            <w:noWrap w:val="0"/>
            <w:vAlign w:val="center"/>
          </w:tcPr>
          <w:p w14:paraId="4DFF8694">
            <w:pPr>
              <w:widowControl/>
              <w:jc w:val="left"/>
              <w:rPr>
                <w:rFonts w:ascii="宋体" w:hAnsi="宋体"/>
                <w:kern w:val="0"/>
                <w:sz w:val="20"/>
                <w:szCs w:val="20"/>
              </w:rPr>
            </w:pPr>
          </w:p>
        </w:tc>
        <w:tc>
          <w:tcPr>
            <w:tcW w:w="835" w:type="dxa"/>
            <w:shd w:val="clear" w:color="000000" w:fill="FFFFFF"/>
            <w:noWrap w:val="0"/>
            <w:vAlign w:val="center"/>
          </w:tcPr>
          <w:p w14:paraId="5F6C82AA">
            <w:pPr>
              <w:widowControl/>
              <w:jc w:val="left"/>
              <w:rPr>
                <w:rFonts w:ascii="宋体" w:hAnsi="宋体"/>
                <w:kern w:val="0"/>
                <w:sz w:val="20"/>
                <w:szCs w:val="20"/>
              </w:rPr>
            </w:pPr>
            <w:r>
              <w:rPr>
                <w:rFonts w:ascii="宋体" w:hAnsi="宋体"/>
                <w:kern w:val="0"/>
                <w:sz w:val="20"/>
                <w:szCs w:val="20"/>
              </w:rPr>
              <w:t>到位及时率（5分）</w:t>
            </w:r>
          </w:p>
        </w:tc>
        <w:tc>
          <w:tcPr>
            <w:tcW w:w="1683" w:type="dxa"/>
            <w:shd w:val="clear" w:color="000000" w:fill="FFFFFF"/>
            <w:noWrap w:val="0"/>
            <w:vAlign w:val="center"/>
          </w:tcPr>
          <w:p w14:paraId="752C3C35">
            <w:pPr>
              <w:widowControl/>
              <w:jc w:val="both"/>
              <w:rPr>
                <w:rFonts w:ascii="宋体" w:hAnsi="宋体"/>
                <w:kern w:val="0"/>
                <w:sz w:val="20"/>
                <w:szCs w:val="20"/>
              </w:rPr>
            </w:pPr>
            <w:r>
              <w:rPr>
                <w:rFonts w:ascii="宋体" w:hAnsi="宋体"/>
                <w:kern w:val="0"/>
                <w:sz w:val="20"/>
                <w:szCs w:val="20"/>
              </w:rPr>
              <w:t>及时到位资金与应到位资金的比率，用以反映和考核项目资金落实的及时性程度。</w:t>
            </w:r>
          </w:p>
        </w:tc>
        <w:tc>
          <w:tcPr>
            <w:tcW w:w="3529" w:type="dxa"/>
            <w:shd w:val="clear" w:color="000000" w:fill="FFFFFF"/>
            <w:noWrap w:val="0"/>
            <w:vAlign w:val="center"/>
          </w:tcPr>
          <w:p w14:paraId="51E16714">
            <w:pPr>
              <w:widowControl/>
              <w:jc w:val="both"/>
              <w:rPr>
                <w:rFonts w:ascii="宋体" w:hAnsi="宋体"/>
                <w:kern w:val="0"/>
                <w:sz w:val="20"/>
                <w:szCs w:val="20"/>
              </w:rPr>
            </w:pPr>
            <w:r>
              <w:rPr>
                <w:rFonts w:ascii="宋体" w:hAnsi="宋体"/>
                <w:kern w:val="0"/>
                <w:sz w:val="20"/>
                <w:szCs w:val="20"/>
              </w:rPr>
              <w:t>到位及时率=（及时到位资金/应到位资金）×100%。（达到目标值得5分，每少一个百分点扣1分，扣完为止）</w:t>
            </w:r>
            <w:r>
              <w:rPr>
                <w:rFonts w:ascii="宋体" w:hAnsi="宋体"/>
                <w:kern w:val="0"/>
                <w:sz w:val="20"/>
                <w:szCs w:val="20"/>
              </w:rPr>
              <w:br w:type="textWrapping"/>
            </w:r>
            <w:r>
              <w:rPr>
                <w:rFonts w:ascii="宋体" w:hAnsi="宋体"/>
                <w:kern w:val="0"/>
                <w:sz w:val="20"/>
                <w:szCs w:val="20"/>
              </w:rPr>
              <w:t>及时到位资金：截至规定时点实际落实到具体项目的资金。</w:t>
            </w:r>
            <w:r>
              <w:rPr>
                <w:rFonts w:ascii="宋体" w:hAnsi="宋体"/>
                <w:kern w:val="0"/>
                <w:sz w:val="20"/>
                <w:szCs w:val="20"/>
              </w:rPr>
              <w:br w:type="textWrapping"/>
            </w:r>
            <w:r>
              <w:rPr>
                <w:rFonts w:ascii="宋体" w:hAnsi="宋体"/>
                <w:kern w:val="0"/>
                <w:sz w:val="20"/>
                <w:szCs w:val="20"/>
              </w:rPr>
              <w:t>应到位资金：按照合同或项目进度要求截至规定时点应落实到具体项目的资金。</w:t>
            </w:r>
          </w:p>
        </w:tc>
        <w:tc>
          <w:tcPr>
            <w:tcW w:w="816" w:type="dxa"/>
            <w:noWrap w:val="0"/>
            <w:vAlign w:val="center"/>
          </w:tcPr>
          <w:p w14:paraId="575A29F8">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82" w:type="dxa"/>
            <w:noWrap w:val="0"/>
            <w:vAlign w:val="center"/>
          </w:tcPr>
          <w:p w14:paraId="532DB406">
            <w:pPr>
              <w:widowControl/>
              <w:jc w:val="left"/>
              <w:rPr>
                <w:rFonts w:ascii="宋体" w:hAnsi="宋体"/>
                <w:kern w:val="0"/>
                <w:sz w:val="24"/>
              </w:rPr>
            </w:pPr>
            <w:r>
              <w:rPr>
                <w:rFonts w:ascii="宋体" w:hAnsi="宋体"/>
                <w:kern w:val="0"/>
                <w:sz w:val="24"/>
              </w:rPr>
              <w:t>　</w:t>
            </w:r>
          </w:p>
        </w:tc>
      </w:tr>
      <w:tr w14:paraId="7981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93" w:type="dxa"/>
            <w:vMerge w:val="restart"/>
            <w:shd w:val="clear" w:color="000000" w:fill="FFFFFF"/>
            <w:noWrap w:val="0"/>
            <w:textDirection w:val="tbRlV"/>
            <w:vAlign w:val="center"/>
          </w:tcPr>
          <w:p w14:paraId="2BD8D336">
            <w:pPr>
              <w:widowControl/>
              <w:jc w:val="center"/>
              <w:rPr>
                <w:rFonts w:ascii="宋体" w:hAnsi="宋体"/>
                <w:kern w:val="0"/>
                <w:sz w:val="20"/>
                <w:szCs w:val="20"/>
              </w:rPr>
            </w:pPr>
            <w:r>
              <w:rPr>
                <w:rFonts w:ascii="宋体" w:hAnsi="宋体"/>
                <w:kern w:val="0"/>
                <w:sz w:val="20"/>
                <w:szCs w:val="20"/>
              </w:rPr>
              <w:t>过   程（25分）</w:t>
            </w:r>
          </w:p>
        </w:tc>
        <w:tc>
          <w:tcPr>
            <w:tcW w:w="683" w:type="dxa"/>
            <w:vMerge w:val="restart"/>
            <w:shd w:val="clear" w:color="000000" w:fill="FFFFFF"/>
            <w:noWrap w:val="0"/>
            <w:vAlign w:val="center"/>
          </w:tcPr>
          <w:p w14:paraId="09E41148">
            <w:pPr>
              <w:widowControl/>
              <w:jc w:val="center"/>
              <w:rPr>
                <w:rFonts w:ascii="宋体" w:hAnsi="宋体"/>
                <w:kern w:val="0"/>
                <w:sz w:val="20"/>
                <w:szCs w:val="20"/>
              </w:rPr>
            </w:pPr>
            <w:r>
              <w:rPr>
                <w:rFonts w:ascii="宋体" w:hAnsi="宋体"/>
                <w:kern w:val="0"/>
                <w:sz w:val="20"/>
                <w:szCs w:val="20"/>
              </w:rPr>
              <w:t>业务</w:t>
            </w:r>
            <w:r>
              <w:rPr>
                <w:rFonts w:ascii="宋体" w:hAnsi="宋体"/>
                <w:kern w:val="0"/>
                <w:sz w:val="20"/>
                <w:szCs w:val="20"/>
              </w:rPr>
              <w:br w:type="textWrapping"/>
            </w:r>
            <w:r>
              <w:rPr>
                <w:rFonts w:ascii="宋体" w:hAnsi="宋体"/>
                <w:kern w:val="0"/>
                <w:sz w:val="20"/>
                <w:szCs w:val="20"/>
              </w:rPr>
              <w:t>管理（13分）</w:t>
            </w:r>
          </w:p>
        </w:tc>
        <w:tc>
          <w:tcPr>
            <w:tcW w:w="835" w:type="dxa"/>
            <w:shd w:val="clear" w:color="000000" w:fill="FFFFFF"/>
            <w:noWrap w:val="0"/>
            <w:vAlign w:val="center"/>
          </w:tcPr>
          <w:p w14:paraId="6CB50193">
            <w:pPr>
              <w:widowControl/>
              <w:jc w:val="left"/>
              <w:rPr>
                <w:rFonts w:ascii="宋体" w:hAnsi="宋体"/>
                <w:kern w:val="0"/>
                <w:sz w:val="20"/>
                <w:szCs w:val="20"/>
              </w:rPr>
            </w:pPr>
            <w:r>
              <w:rPr>
                <w:rFonts w:ascii="宋体" w:hAnsi="宋体"/>
                <w:kern w:val="0"/>
                <w:sz w:val="20"/>
                <w:szCs w:val="20"/>
              </w:rPr>
              <w:t>管理制度健全性（4分）</w:t>
            </w:r>
          </w:p>
        </w:tc>
        <w:tc>
          <w:tcPr>
            <w:tcW w:w="1683" w:type="dxa"/>
            <w:shd w:val="clear" w:color="000000" w:fill="FFFFFF"/>
            <w:noWrap w:val="0"/>
            <w:vAlign w:val="center"/>
          </w:tcPr>
          <w:p w14:paraId="7AE7491E">
            <w:pPr>
              <w:widowControl/>
              <w:jc w:val="both"/>
              <w:rPr>
                <w:rFonts w:ascii="宋体" w:hAnsi="宋体"/>
                <w:kern w:val="0"/>
                <w:sz w:val="20"/>
                <w:szCs w:val="20"/>
              </w:rPr>
            </w:pPr>
            <w:r>
              <w:rPr>
                <w:rFonts w:ascii="宋体" w:hAnsi="宋体"/>
                <w:kern w:val="0"/>
                <w:sz w:val="20"/>
                <w:szCs w:val="20"/>
              </w:rPr>
              <w:t>项目实施单位的业务管理制度是否健全，用以反映和考核业务管理制度对项目顺利实施的保障情况。</w:t>
            </w:r>
          </w:p>
        </w:tc>
        <w:tc>
          <w:tcPr>
            <w:tcW w:w="3529" w:type="dxa"/>
            <w:shd w:val="clear" w:color="000000" w:fill="FFFFFF"/>
            <w:noWrap w:val="0"/>
            <w:vAlign w:val="center"/>
          </w:tcPr>
          <w:p w14:paraId="73ADEA5C">
            <w:pPr>
              <w:widowControl/>
              <w:jc w:val="both"/>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是否已制定或具有相应的业务管理制度；（2分）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业务管理制度是否合法、合规、完整。（2分）</w:t>
            </w:r>
          </w:p>
        </w:tc>
        <w:tc>
          <w:tcPr>
            <w:tcW w:w="816" w:type="dxa"/>
            <w:noWrap w:val="0"/>
            <w:vAlign w:val="center"/>
          </w:tcPr>
          <w:p w14:paraId="7F8039D4">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4</w:t>
            </w:r>
          </w:p>
        </w:tc>
        <w:tc>
          <w:tcPr>
            <w:tcW w:w="882" w:type="dxa"/>
            <w:noWrap w:val="0"/>
            <w:vAlign w:val="center"/>
          </w:tcPr>
          <w:p w14:paraId="7BA4F7F4">
            <w:pPr>
              <w:widowControl/>
              <w:jc w:val="left"/>
              <w:rPr>
                <w:rFonts w:ascii="宋体" w:hAnsi="宋体"/>
                <w:kern w:val="0"/>
                <w:sz w:val="24"/>
              </w:rPr>
            </w:pPr>
            <w:r>
              <w:rPr>
                <w:rFonts w:ascii="宋体" w:hAnsi="宋体"/>
                <w:kern w:val="0"/>
                <w:sz w:val="24"/>
              </w:rPr>
              <w:t>　</w:t>
            </w:r>
          </w:p>
        </w:tc>
      </w:tr>
      <w:tr w14:paraId="3B21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693" w:type="dxa"/>
            <w:vMerge w:val="continue"/>
            <w:shd w:val="clear" w:color="auto" w:fill="auto"/>
            <w:noWrap w:val="0"/>
            <w:vAlign w:val="center"/>
          </w:tcPr>
          <w:p w14:paraId="51F197B2">
            <w:pPr>
              <w:widowControl/>
              <w:jc w:val="left"/>
              <w:rPr>
                <w:rFonts w:ascii="宋体" w:hAnsi="宋体"/>
                <w:kern w:val="0"/>
                <w:sz w:val="20"/>
                <w:szCs w:val="20"/>
              </w:rPr>
            </w:pPr>
          </w:p>
        </w:tc>
        <w:tc>
          <w:tcPr>
            <w:tcW w:w="683" w:type="dxa"/>
            <w:vMerge w:val="continue"/>
            <w:shd w:val="clear" w:color="auto" w:fill="auto"/>
            <w:noWrap w:val="0"/>
            <w:vAlign w:val="center"/>
          </w:tcPr>
          <w:p w14:paraId="26BBEF7C">
            <w:pPr>
              <w:widowControl/>
              <w:jc w:val="left"/>
              <w:rPr>
                <w:rFonts w:ascii="宋体" w:hAnsi="宋体"/>
                <w:kern w:val="0"/>
                <w:sz w:val="20"/>
                <w:szCs w:val="20"/>
              </w:rPr>
            </w:pPr>
          </w:p>
        </w:tc>
        <w:tc>
          <w:tcPr>
            <w:tcW w:w="835" w:type="dxa"/>
            <w:shd w:val="clear" w:color="000000" w:fill="FFFFFF"/>
            <w:noWrap w:val="0"/>
            <w:vAlign w:val="center"/>
          </w:tcPr>
          <w:p w14:paraId="300F31E4">
            <w:pPr>
              <w:widowControl/>
              <w:jc w:val="left"/>
              <w:rPr>
                <w:rFonts w:ascii="宋体" w:hAnsi="宋体"/>
                <w:kern w:val="0"/>
                <w:sz w:val="20"/>
                <w:szCs w:val="20"/>
              </w:rPr>
            </w:pPr>
            <w:r>
              <w:rPr>
                <w:rFonts w:ascii="宋体" w:hAnsi="宋体"/>
                <w:kern w:val="0"/>
                <w:sz w:val="20"/>
                <w:szCs w:val="20"/>
              </w:rPr>
              <w:t>制度执行有效性（6分)</w:t>
            </w:r>
          </w:p>
        </w:tc>
        <w:tc>
          <w:tcPr>
            <w:tcW w:w="1683" w:type="dxa"/>
            <w:shd w:val="clear" w:color="000000" w:fill="FFFFFF"/>
            <w:noWrap w:val="0"/>
            <w:vAlign w:val="center"/>
          </w:tcPr>
          <w:p w14:paraId="6DC2BF55">
            <w:pPr>
              <w:widowControl/>
              <w:jc w:val="both"/>
              <w:rPr>
                <w:rFonts w:ascii="宋体" w:hAnsi="宋体"/>
                <w:kern w:val="0"/>
                <w:sz w:val="20"/>
                <w:szCs w:val="20"/>
              </w:rPr>
            </w:pPr>
            <w:r>
              <w:rPr>
                <w:rFonts w:ascii="宋体" w:hAnsi="宋体"/>
                <w:kern w:val="0"/>
                <w:sz w:val="20"/>
                <w:szCs w:val="20"/>
              </w:rPr>
              <w:t>项目实施是否符合相关业务管理规定，用以反映和考核业务管理制度的有效执行情况。</w:t>
            </w:r>
          </w:p>
        </w:tc>
        <w:tc>
          <w:tcPr>
            <w:tcW w:w="3529" w:type="dxa"/>
            <w:shd w:val="clear" w:color="000000" w:fill="FFFFFF"/>
            <w:noWrap w:val="0"/>
            <w:vAlign w:val="center"/>
          </w:tcPr>
          <w:p w14:paraId="09E51BB0">
            <w:pPr>
              <w:widowControl/>
              <w:jc w:val="both"/>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是否遵守相关法律法规和业务管理规定；(1分）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项目调整及支出调整手续是否完备；（1分）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项目合同书、验收报告、技术鉴定等资料是否齐全并及时归档；（2分）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项目实施的人员条件、场地设备、信息支撑等是否落实到位。（2分）</w:t>
            </w:r>
          </w:p>
        </w:tc>
        <w:tc>
          <w:tcPr>
            <w:tcW w:w="816" w:type="dxa"/>
            <w:noWrap w:val="0"/>
            <w:vAlign w:val="center"/>
          </w:tcPr>
          <w:p w14:paraId="1B941FFD">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6</w:t>
            </w:r>
          </w:p>
        </w:tc>
        <w:tc>
          <w:tcPr>
            <w:tcW w:w="882" w:type="dxa"/>
            <w:noWrap w:val="0"/>
            <w:vAlign w:val="center"/>
          </w:tcPr>
          <w:p w14:paraId="4DC4585D">
            <w:pPr>
              <w:widowControl/>
              <w:jc w:val="left"/>
              <w:rPr>
                <w:rFonts w:ascii="宋体" w:hAnsi="宋体"/>
                <w:kern w:val="0"/>
                <w:sz w:val="24"/>
              </w:rPr>
            </w:pPr>
            <w:r>
              <w:rPr>
                <w:rFonts w:ascii="宋体" w:hAnsi="宋体"/>
                <w:kern w:val="0"/>
                <w:sz w:val="24"/>
              </w:rPr>
              <w:t>　</w:t>
            </w:r>
          </w:p>
        </w:tc>
      </w:tr>
      <w:tr w14:paraId="3330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693" w:type="dxa"/>
            <w:vMerge w:val="continue"/>
            <w:shd w:val="clear" w:color="auto" w:fill="auto"/>
            <w:noWrap w:val="0"/>
            <w:vAlign w:val="center"/>
          </w:tcPr>
          <w:p w14:paraId="49078099">
            <w:pPr>
              <w:widowControl/>
              <w:jc w:val="left"/>
              <w:rPr>
                <w:rFonts w:ascii="宋体" w:hAnsi="宋体"/>
                <w:kern w:val="0"/>
                <w:sz w:val="20"/>
                <w:szCs w:val="20"/>
              </w:rPr>
            </w:pPr>
          </w:p>
        </w:tc>
        <w:tc>
          <w:tcPr>
            <w:tcW w:w="683" w:type="dxa"/>
            <w:vMerge w:val="continue"/>
            <w:shd w:val="clear" w:color="auto" w:fill="auto"/>
            <w:noWrap w:val="0"/>
            <w:vAlign w:val="center"/>
          </w:tcPr>
          <w:p w14:paraId="2A306916">
            <w:pPr>
              <w:widowControl/>
              <w:jc w:val="left"/>
              <w:rPr>
                <w:rFonts w:ascii="宋体" w:hAnsi="宋体"/>
                <w:kern w:val="0"/>
                <w:sz w:val="20"/>
                <w:szCs w:val="20"/>
              </w:rPr>
            </w:pPr>
          </w:p>
        </w:tc>
        <w:tc>
          <w:tcPr>
            <w:tcW w:w="835" w:type="dxa"/>
            <w:shd w:val="clear" w:color="000000" w:fill="FFFFFF"/>
            <w:noWrap w:val="0"/>
            <w:vAlign w:val="center"/>
          </w:tcPr>
          <w:p w14:paraId="0A6C10C7">
            <w:pPr>
              <w:widowControl/>
              <w:jc w:val="left"/>
              <w:rPr>
                <w:rFonts w:ascii="宋体" w:hAnsi="宋体"/>
                <w:kern w:val="0"/>
                <w:sz w:val="20"/>
                <w:szCs w:val="20"/>
              </w:rPr>
            </w:pPr>
            <w:r>
              <w:rPr>
                <w:rFonts w:ascii="宋体" w:hAnsi="宋体"/>
                <w:kern w:val="0"/>
                <w:sz w:val="20"/>
                <w:szCs w:val="20"/>
              </w:rPr>
              <w:t>项目质量可控性（3分）</w:t>
            </w:r>
          </w:p>
        </w:tc>
        <w:tc>
          <w:tcPr>
            <w:tcW w:w="1683" w:type="dxa"/>
            <w:shd w:val="clear" w:color="000000" w:fill="FFFFFF"/>
            <w:noWrap w:val="0"/>
            <w:vAlign w:val="center"/>
          </w:tcPr>
          <w:p w14:paraId="2D302C1F">
            <w:pPr>
              <w:widowControl/>
              <w:jc w:val="both"/>
              <w:rPr>
                <w:rFonts w:ascii="宋体" w:hAnsi="宋体"/>
                <w:kern w:val="0"/>
                <w:sz w:val="20"/>
                <w:szCs w:val="20"/>
              </w:rPr>
            </w:pPr>
            <w:r>
              <w:rPr>
                <w:rFonts w:ascii="宋体" w:hAnsi="宋体"/>
                <w:kern w:val="0"/>
                <w:sz w:val="20"/>
                <w:szCs w:val="20"/>
              </w:rPr>
              <w:t>项目实施单位是否为达到项目质量要求而采取了必需的措施,用以反映和考核项目实施单位对项目质量的控制情况。</w:t>
            </w:r>
          </w:p>
        </w:tc>
        <w:tc>
          <w:tcPr>
            <w:tcW w:w="3529" w:type="dxa"/>
            <w:shd w:val="clear" w:color="000000" w:fill="FFFFFF"/>
            <w:noWrap w:val="0"/>
            <w:vAlign w:val="center"/>
          </w:tcPr>
          <w:p w14:paraId="56E7D00E">
            <w:pPr>
              <w:widowControl/>
              <w:jc w:val="both"/>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是否已制定或具有相应的项目质量要求或标准；（1分）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是否采取了相应的项目质量检查、验收等必需的控制措施或手段。（2分）</w:t>
            </w:r>
          </w:p>
        </w:tc>
        <w:tc>
          <w:tcPr>
            <w:tcW w:w="816" w:type="dxa"/>
            <w:noWrap w:val="0"/>
            <w:vAlign w:val="center"/>
          </w:tcPr>
          <w:p w14:paraId="4E87D44B">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3</w:t>
            </w:r>
          </w:p>
        </w:tc>
        <w:tc>
          <w:tcPr>
            <w:tcW w:w="882" w:type="dxa"/>
            <w:noWrap w:val="0"/>
            <w:vAlign w:val="center"/>
          </w:tcPr>
          <w:p w14:paraId="5323C391">
            <w:pPr>
              <w:widowControl/>
              <w:jc w:val="left"/>
              <w:rPr>
                <w:rFonts w:ascii="宋体" w:hAnsi="宋体"/>
                <w:kern w:val="0"/>
                <w:sz w:val="24"/>
              </w:rPr>
            </w:pPr>
            <w:r>
              <w:rPr>
                <w:rFonts w:ascii="宋体" w:hAnsi="宋体"/>
                <w:kern w:val="0"/>
                <w:sz w:val="24"/>
              </w:rPr>
              <w:t>　</w:t>
            </w:r>
          </w:p>
        </w:tc>
      </w:tr>
      <w:tr w14:paraId="28D6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93" w:type="dxa"/>
            <w:vMerge w:val="continue"/>
            <w:shd w:val="clear" w:color="auto" w:fill="auto"/>
            <w:noWrap w:val="0"/>
            <w:vAlign w:val="center"/>
          </w:tcPr>
          <w:p w14:paraId="4C9B6013">
            <w:pPr>
              <w:widowControl/>
              <w:jc w:val="left"/>
              <w:rPr>
                <w:rFonts w:ascii="宋体" w:hAnsi="宋体"/>
                <w:kern w:val="0"/>
                <w:sz w:val="20"/>
                <w:szCs w:val="20"/>
              </w:rPr>
            </w:pPr>
          </w:p>
        </w:tc>
        <w:tc>
          <w:tcPr>
            <w:tcW w:w="683" w:type="dxa"/>
            <w:vMerge w:val="restart"/>
            <w:shd w:val="clear" w:color="000000" w:fill="FFFFFF"/>
            <w:noWrap w:val="0"/>
            <w:vAlign w:val="center"/>
          </w:tcPr>
          <w:p w14:paraId="78FDBC59">
            <w:pPr>
              <w:widowControl/>
              <w:jc w:val="center"/>
              <w:rPr>
                <w:rFonts w:ascii="宋体" w:hAnsi="宋体"/>
                <w:kern w:val="0"/>
                <w:sz w:val="20"/>
                <w:szCs w:val="20"/>
              </w:rPr>
            </w:pPr>
            <w:r>
              <w:rPr>
                <w:rFonts w:ascii="宋体" w:hAnsi="宋体"/>
                <w:kern w:val="0"/>
                <w:sz w:val="20"/>
                <w:szCs w:val="20"/>
              </w:rPr>
              <w:t>财务</w:t>
            </w:r>
            <w:r>
              <w:rPr>
                <w:rFonts w:ascii="宋体" w:hAnsi="宋体"/>
                <w:kern w:val="0"/>
                <w:sz w:val="20"/>
                <w:szCs w:val="20"/>
              </w:rPr>
              <w:br w:type="textWrapping"/>
            </w:r>
            <w:r>
              <w:rPr>
                <w:rFonts w:ascii="宋体" w:hAnsi="宋体"/>
                <w:kern w:val="0"/>
                <w:sz w:val="20"/>
                <w:szCs w:val="20"/>
              </w:rPr>
              <w:t>管理（12分）</w:t>
            </w:r>
          </w:p>
        </w:tc>
        <w:tc>
          <w:tcPr>
            <w:tcW w:w="835" w:type="dxa"/>
            <w:shd w:val="clear" w:color="000000" w:fill="FFFFFF"/>
            <w:noWrap w:val="0"/>
            <w:vAlign w:val="center"/>
          </w:tcPr>
          <w:p w14:paraId="45A8DB0E">
            <w:pPr>
              <w:widowControl/>
              <w:jc w:val="left"/>
              <w:rPr>
                <w:rFonts w:ascii="宋体" w:hAnsi="宋体"/>
                <w:kern w:val="0"/>
                <w:sz w:val="20"/>
                <w:szCs w:val="20"/>
              </w:rPr>
            </w:pPr>
            <w:r>
              <w:rPr>
                <w:rFonts w:ascii="宋体" w:hAnsi="宋体"/>
                <w:kern w:val="0"/>
                <w:sz w:val="20"/>
                <w:szCs w:val="20"/>
              </w:rPr>
              <w:t>管理制度健全性（3分）</w:t>
            </w:r>
          </w:p>
        </w:tc>
        <w:tc>
          <w:tcPr>
            <w:tcW w:w="1683" w:type="dxa"/>
            <w:shd w:val="clear" w:color="000000" w:fill="FFFFFF"/>
            <w:noWrap w:val="0"/>
            <w:vAlign w:val="center"/>
          </w:tcPr>
          <w:p w14:paraId="0360E147">
            <w:pPr>
              <w:widowControl/>
              <w:jc w:val="both"/>
              <w:rPr>
                <w:rFonts w:ascii="宋体" w:hAnsi="宋体"/>
                <w:kern w:val="0"/>
                <w:sz w:val="20"/>
                <w:szCs w:val="20"/>
              </w:rPr>
            </w:pPr>
            <w:r>
              <w:rPr>
                <w:rFonts w:ascii="宋体" w:hAnsi="宋体"/>
                <w:kern w:val="0"/>
                <w:sz w:val="20"/>
                <w:szCs w:val="20"/>
              </w:rPr>
              <w:t>项目实施单位的财务制度是否健全，用以反映和考核财务管理制度对资金规范、安全运行的保障情况。</w:t>
            </w:r>
          </w:p>
        </w:tc>
        <w:tc>
          <w:tcPr>
            <w:tcW w:w="3529" w:type="dxa"/>
            <w:shd w:val="clear" w:color="000000" w:fill="FFFFFF"/>
            <w:noWrap w:val="0"/>
            <w:vAlign w:val="center"/>
          </w:tcPr>
          <w:p w14:paraId="2D390636">
            <w:pPr>
              <w:widowControl/>
              <w:jc w:val="both"/>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是否已制定或具有相应的项目资金管理办法；（2分）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项目资金管理办法是否符合相关财务会计制度的规定。（1分）</w:t>
            </w:r>
          </w:p>
        </w:tc>
        <w:tc>
          <w:tcPr>
            <w:tcW w:w="816" w:type="dxa"/>
            <w:noWrap w:val="0"/>
            <w:vAlign w:val="center"/>
          </w:tcPr>
          <w:p w14:paraId="657B897C">
            <w:pPr>
              <w:widowControl/>
              <w:jc w:val="center"/>
              <w:rPr>
                <w:rFonts w:hint="eastAsia" w:ascii="宋体" w:hAnsi="宋体"/>
                <w:kern w:val="0"/>
                <w:sz w:val="24"/>
              </w:rPr>
            </w:pPr>
            <w:r>
              <w:rPr>
                <w:rFonts w:hint="eastAsia" w:ascii="宋体" w:hAnsi="宋体"/>
                <w:kern w:val="0"/>
                <w:sz w:val="24"/>
              </w:rPr>
              <w:t>3</w:t>
            </w:r>
          </w:p>
        </w:tc>
        <w:tc>
          <w:tcPr>
            <w:tcW w:w="882" w:type="dxa"/>
            <w:noWrap w:val="0"/>
            <w:vAlign w:val="center"/>
          </w:tcPr>
          <w:p w14:paraId="16B55622">
            <w:pPr>
              <w:widowControl/>
              <w:jc w:val="left"/>
              <w:rPr>
                <w:rFonts w:ascii="宋体" w:hAnsi="宋体"/>
                <w:kern w:val="0"/>
                <w:sz w:val="24"/>
              </w:rPr>
            </w:pPr>
            <w:r>
              <w:rPr>
                <w:rFonts w:ascii="宋体" w:hAnsi="宋体"/>
                <w:kern w:val="0"/>
                <w:sz w:val="24"/>
              </w:rPr>
              <w:t>　</w:t>
            </w:r>
          </w:p>
        </w:tc>
      </w:tr>
      <w:tr w14:paraId="50CC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93" w:type="dxa"/>
            <w:vMerge w:val="continue"/>
            <w:shd w:val="clear" w:color="auto" w:fill="auto"/>
            <w:noWrap w:val="0"/>
            <w:vAlign w:val="center"/>
          </w:tcPr>
          <w:p w14:paraId="2D3FDC40">
            <w:pPr>
              <w:widowControl/>
              <w:jc w:val="left"/>
              <w:rPr>
                <w:rFonts w:ascii="宋体" w:hAnsi="宋体"/>
                <w:kern w:val="0"/>
                <w:sz w:val="20"/>
                <w:szCs w:val="20"/>
              </w:rPr>
            </w:pPr>
          </w:p>
        </w:tc>
        <w:tc>
          <w:tcPr>
            <w:tcW w:w="683" w:type="dxa"/>
            <w:vMerge w:val="continue"/>
            <w:shd w:val="clear" w:color="auto" w:fill="auto"/>
            <w:noWrap w:val="0"/>
            <w:vAlign w:val="center"/>
          </w:tcPr>
          <w:p w14:paraId="2E87ABD1">
            <w:pPr>
              <w:widowControl/>
              <w:jc w:val="left"/>
              <w:rPr>
                <w:rFonts w:ascii="宋体" w:hAnsi="宋体"/>
                <w:kern w:val="0"/>
                <w:sz w:val="20"/>
                <w:szCs w:val="20"/>
              </w:rPr>
            </w:pPr>
          </w:p>
        </w:tc>
        <w:tc>
          <w:tcPr>
            <w:tcW w:w="835" w:type="dxa"/>
            <w:shd w:val="clear" w:color="000000" w:fill="FFFFFF"/>
            <w:noWrap w:val="0"/>
            <w:vAlign w:val="center"/>
          </w:tcPr>
          <w:p w14:paraId="41C37023">
            <w:pPr>
              <w:widowControl/>
              <w:jc w:val="left"/>
              <w:rPr>
                <w:rFonts w:ascii="宋体" w:hAnsi="宋体"/>
                <w:kern w:val="0"/>
                <w:sz w:val="20"/>
                <w:szCs w:val="20"/>
              </w:rPr>
            </w:pPr>
            <w:r>
              <w:rPr>
                <w:rFonts w:ascii="宋体" w:hAnsi="宋体"/>
                <w:kern w:val="0"/>
                <w:sz w:val="20"/>
                <w:szCs w:val="20"/>
              </w:rPr>
              <w:t>资金使用合规性（7分）</w:t>
            </w:r>
          </w:p>
        </w:tc>
        <w:tc>
          <w:tcPr>
            <w:tcW w:w="1683" w:type="dxa"/>
            <w:shd w:val="clear" w:color="000000" w:fill="FFFFFF"/>
            <w:noWrap w:val="0"/>
            <w:vAlign w:val="center"/>
          </w:tcPr>
          <w:p w14:paraId="0AC788E8">
            <w:pPr>
              <w:widowControl/>
              <w:jc w:val="both"/>
              <w:rPr>
                <w:rFonts w:ascii="宋体" w:hAnsi="宋体"/>
                <w:kern w:val="0"/>
                <w:sz w:val="20"/>
                <w:szCs w:val="20"/>
              </w:rPr>
            </w:pPr>
            <w:r>
              <w:rPr>
                <w:rFonts w:ascii="宋体" w:hAnsi="宋体"/>
                <w:kern w:val="0"/>
                <w:sz w:val="20"/>
                <w:szCs w:val="20"/>
              </w:rPr>
              <w:t>项目资金使用是否符合相关的财务管理制度规定，用以反映和考核项目资金的规范运行情况。</w:t>
            </w:r>
          </w:p>
        </w:tc>
        <w:tc>
          <w:tcPr>
            <w:tcW w:w="3529" w:type="dxa"/>
            <w:shd w:val="clear" w:color="000000" w:fill="FFFFFF"/>
            <w:noWrap w:val="0"/>
            <w:vAlign w:val="center"/>
          </w:tcPr>
          <w:p w14:paraId="066A6A10">
            <w:pPr>
              <w:widowControl/>
              <w:jc w:val="both"/>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是否符合国家财经法规和财务管理制度以及有关专项资金管理办法的规定；（1分）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资金的拨付是否有完整的审批程序和手续；（2分）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项目的重大开支是否经过评估认证；（1分）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是否符合项目预算批复或合同规定的用途；（1分）</w:t>
            </w:r>
            <w:r>
              <w:rPr>
                <w:rFonts w:ascii="宋体" w:hAnsi="宋体"/>
                <w:kern w:val="0"/>
                <w:sz w:val="20"/>
                <w:szCs w:val="20"/>
              </w:rPr>
              <w:br w:type="textWrapping"/>
            </w:r>
            <w:r>
              <w:rPr>
                <w:rFonts w:hint="eastAsia" w:ascii="宋体" w:hAnsi="宋体" w:cs="宋体"/>
                <w:kern w:val="0"/>
                <w:sz w:val="20"/>
                <w:szCs w:val="20"/>
              </w:rPr>
              <w:t>⑤</w:t>
            </w:r>
            <w:r>
              <w:rPr>
                <w:rFonts w:ascii="宋体" w:hAnsi="宋体"/>
                <w:kern w:val="0"/>
                <w:sz w:val="20"/>
                <w:szCs w:val="20"/>
              </w:rPr>
              <w:t>是否存在截留、挤占、挪用、虚列支出等情况。（2分）</w:t>
            </w:r>
          </w:p>
        </w:tc>
        <w:tc>
          <w:tcPr>
            <w:tcW w:w="816" w:type="dxa"/>
            <w:noWrap w:val="0"/>
            <w:vAlign w:val="center"/>
          </w:tcPr>
          <w:p w14:paraId="353D3EF6">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7</w:t>
            </w:r>
          </w:p>
        </w:tc>
        <w:tc>
          <w:tcPr>
            <w:tcW w:w="882" w:type="dxa"/>
            <w:noWrap w:val="0"/>
            <w:vAlign w:val="center"/>
          </w:tcPr>
          <w:p w14:paraId="442A65BF">
            <w:pPr>
              <w:widowControl/>
              <w:jc w:val="left"/>
              <w:rPr>
                <w:rFonts w:ascii="宋体" w:hAnsi="宋体"/>
                <w:kern w:val="0"/>
                <w:sz w:val="24"/>
              </w:rPr>
            </w:pPr>
            <w:r>
              <w:rPr>
                <w:rFonts w:ascii="宋体" w:hAnsi="宋体"/>
                <w:kern w:val="0"/>
                <w:sz w:val="24"/>
              </w:rPr>
              <w:t>　</w:t>
            </w:r>
          </w:p>
        </w:tc>
      </w:tr>
      <w:tr w14:paraId="5CE3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93" w:type="dxa"/>
            <w:vMerge w:val="continue"/>
            <w:shd w:val="clear" w:color="auto" w:fill="auto"/>
            <w:noWrap w:val="0"/>
            <w:vAlign w:val="center"/>
          </w:tcPr>
          <w:p w14:paraId="6A8DEA04">
            <w:pPr>
              <w:widowControl/>
              <w:jc w:val="left"/>
              <w:rPr>
                <w:rFonts w:ascii="宋体" w:hAnsi="宋体"/>
                <w:kern w:val="0"/>
                <w:sz w:val="20"/>
                <w:szCs w:val="20"/>
              </w:rPr>
            </w:pPr>
          </w:p>
        </w:tc>
        <w:tc>
          <w:tcPr>
            <w:tcW w:w="683" w:type="dxa"/>
            <w:vMerge w:val="continue"/>
            <w:shd w:val="clear" w:color="auto" w:fill="auto"/>
            <w:noWrap w:val="0"/>
            <w:vAlign w:val="center"/>
          </w:tcPr>
          <w:p w14:paraId="54800D7B">
            <w:pPr>
              <w:widowControl/>
              <w:jc w:val="left"/>
              <w:rPr>
                <w:rFonts w:ascii="宋体" w:hAnsi="宋体"/>
                <w:kern w:val="0"/>
                <w:sz w:val="20"/>
                <w:szCs w:val="20"/>
              </w:rPr>
            </w:pPr>
          </w:p>
        </w:tc>
        <w:tc>
          <w:tcPr>
            <w:tcW w:w="835" w:type="dxa"/>
            <w:shd w:val="clear" w:color="000000" w:fill="FFFFFF"/>
            <w:noWrap w:val="0"/>
            <w:vAlign w:val="center"/>
          </w:tcPr>
          <w:p w14:paraId="5E4C40B3">
            <w:pPr>
              <w:widowControl/>
              <w:jc w:val="left"/>
              <w:rPr>
                <w:rFonts w:ascii="宋体" w:hAnsi="宋体"/>
                <w:kern w:val="0"/>
                <w:sz w:val="20"/>
                <w:szCs w:val="20"/>
              </w:rPr>
            </w:pPr>
            <w:r>
              <w:rPr>
                <w:rFonts w:ascii="宋体" w:hAnsi="宋体"/>
                <w:kern w:val="0"/>
                <w:sz w:val="20"/>
                <w:szCs w:val="20"/>
              </w:rPr>
              <w:t>财务监控有效性（2分）</w:t>
            </w:r>
          </w:p>
        </w:tc>
        <w:tc>
          <w:tcPr>
            <w:tcW w:w="1683" w:type="dxa"/>
            <w:shd w:val="clear" w:color="000000" w:fill="FFFFFF"/>
            <w:noWrap w:val="0"/>
            <w:vAlign w:val="center"/>
          </w:tcPr>
          <w:p w14:paraId="1A1B3D97">
            <w:pPr>
              <w:widowControl/>
              <w:jc w:val="both"/>
              <w:rPr>
                <w:rFonts w:ascii="宋体" w:hAnsi="宋体"/>
                <w:kern w:val="0"/>
                <w:sz w:val="20"/>
                <w:szCs w:val="20"/>
              </w:rPr>
            </w:pPr>
            <w:r>
              <w:rPr>
                <w:rFonts w:ascii="宋体" w:hAnsi="宋体"/>
                <w:spacing w:val="-11"/>
                <w:kern w:val="0"/>
                <w:sz w:val="20"/>
                <w:szCs w:val="20"/>
              </w:rPr>
              <w:t>项目实施单位是否为保障资金的安全、规范运行而采取了必要的监控措施，用以反映和考核项目实施单位对资金运行</w:t>
            </w:r>
            <w:r>
              <w:rPr>
                <w:rFonts w:ascii="宋体" w:hAnsi="宋体"/>
                <w:kern w:val="0"/>
                <w:sz w:val="20"/>
                <w:szCs w:val="20"/>
              </w:rPr>
              <w:t>的控制情况。</w:t>
            </w:r>
          </w:p>
        </w:tc>
        <w:tc>
          <w:tcPr>
            <w:tcW w:w="3529" w:type="dxa"/>
            <w:shd w:val="clear" w:color="000000" w:fill="FFFFFF"/>
            <w:noWrap w:val="0"/>
            <w:vAlign w:val="center"/>
          </w:tcPr>
          <w:p w14:paraId="5ABA01A5">
            <w:pPr>
              <w:widowControl/>
              <w:jc w:val="both"/>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是否已制定或具有相应的监控机制；（1分）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是否采取了相应的财务检查等必要的监控措施或手段。（1分）</w:t>
            </w:r>
          </w:p>
        </w:tc>
        <w:tc>
          <w:tcPr>
            <w:tcW w:w="816" w:type="dxa"/>
            <w:noWrap w:val="0"/>
            <w:vAlign w:val="center"/>
          </w:tcPr>
          <w:p w14:paraId="742B26AC">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2</w:t>
            </w:r>
          </w:p>
        </w:tc>
        <w:tc>
          <w:tcPr>
            <w:tcW w:w="882" w:type="dxa"/>
            <w:noWrap w:val="0"/>
            <w:vAlign w:val="center"/>
          </w:tcPr>
          <w:p w14:paraId="2B4424BB">
            <w:pPr>
              <w:widowControl/>
              <w:jc w:val="left"/>
              <w:rPr>
                <w:rFonts w:ascii="宋体" w:hAnsi="宋体"/>
                <w:kern w:val="0"/>
                <w:sz w:val="24"/>
              </w:rPr>
            </w:pPr>
            <w:r>
              <w:rPr>
                <w:rFonts w:ascii="宋体" w:hAnsi="宋体"/>
                <w:kern w:val="0"/>
                <w:sz w:val="24"/>
              </w:rPr>
              <w:t>　</w:t>
            </w:r>
          </w:p>
        </w:tc>
      </w:tr>
      <w:tr w14:paraId="27F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3" w:type="dxa"/>
            <w:vMerge w:val="restart"/>
            <w:shd w:val="clear" w:color="000000" w:fill="FFFFFF"/>
            <w:noWrap w:val="0"/>
            <w:textDirection w:val="tbRlV"/>
            <w:vAlign w:val="center"/>
          </w:tcPr>
          <w:p w14:paraId="7314DBA6">
            <w:pPr>
              <w:widowControl/>
              <w:jc w:val="center"/>
              <w:rPr>
                <w:rFonts w:ascii="宋体" w:hAnsi="宋体"/>
                <w:kern w:val="0"/>
                <w:sz w:val="20"/>
                <w:szCs w:val="20"/>
              </w:rPr>
            </w:pPr>
            <w:r>
              <w:rPr>
                <w:rFonts w:ascii="宋体" w:hAnsi="宋体"/>
                <w:kern w:val="0"/>
                <w:sz w:val="20"/>
                <w:szCs w:val="20"/>
              </w:rPr>
              <w:t>产   出（20分）</w:t>
            </w:r>
          </w:p>
        </w:tc>
        <w:tc>
          <w:tcPr>
            <w:tcW w:w="683" w:type="dxa"/>
            <w:vMerge w:val="restart"/>
            <w:shd w:val="clear" w:color="000000" w:fill="FFFFFF"/>
            <w:noWrap w:val="0"/>
            <w:vAlign w:val="center"/>
          </w:tcPr>
          <w:p w14:paraId="7A5B6901">
            <w:pPr>
              <w:widowControl/>
              <w:jc w:val="center"/>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产出（20分）</w:t>
            </w:r>
          </w:p>
        </w:tc>
        <w:tc>
          <w:tcPr>
            <w:tcW w:w="835" w:type="dxa"/>
            <w:shd w:val="clear" w:color="000000" w:fill="FFFFFF"/>
            <w:noWrap w:val="0"/>
            <w:vAlign w:val="center"/>
          </w:tcPr>
          <w:p w14:paraId="1F2881E2">
            <w:pPr>
              <w:widowControl/>
              <w:jc w:val="left"/>
              <w:rPr>
                <w:rFonts w:ascii="宋体" w:hAnsi="宋体"/>
                <w:kern w:val="0"/>
                <w:sz w:val="20"/>
                <w:szCs w:val="20"/>
              </w:rPr>
            </w:pPr>
            <w:r>
              <w:rPr>
                <w:rFonts w:ascii="宋体" w:hAnsi="宋体"/>
                <w:kern w:val="0"/>
                <w:sz w:val="20"/>
                <w:szCs w:val="20"/>
              </w:rPr>
              <w:t>实际完成率（4分）</w:t>
            </w:r>
          </w:p>
        </w:tc>
        <w:tc>
          <w:tcPr>
            <w:tcW w:w="1683" w:type="dxa"/>
            <w:shd w:val="clear" w:color="000000" w:fill="FFFFFF"/>
            <w:noWrap w:val="0"/>
            <w:vAlign w:val="center"/>
          </w:tcPr>
          <w:p w14:paraId="11C78D80">
            <w:pPr>
              <w:widowControl/>
              <w:jc w:val="both"/>
              <w:rPr>
                <w:rFonts w:ascii="宋体" w:hAnsi="宋体"/>
                <w:kern w:val="0"/>
                <w:sz w:val="20"/>
                <w:szCs w:val="20"/>
              </w:rPr>
            </w:pPr>
            <w:r>
              <w:rPr>
                <w:rFonts w:ascii="宋体" w:hAnsi="宋体"/>
                <w:kern w:val="0"/>
                <w:sz w:val="20"/>
                <w:szCs w:val="20"/>
              </w:rPr>
              <w:t>项目实施的实际产出数与计划产出数的比率，用以反映和考核项目产出数量目标的实现程度。</w:t>
            </w:r>
          </w:p>
        </w:tc>
        <w:tc>
          <w:tcPr>
            <w:tcW w:w="3529" w:type="dxa"/>
            <w:shd w:val="clear" w:color="000000" w:fill="FFFFFF"/>
            <w:noWrap w:val="0"/>
            <w:vAlign w:val="center"/>
          </w:tcPr>
          <w:p w14:paraId="61D53A8D">
            <w:pPr>
              <w:widowControl/>
              <w:jc w:val="both"/>
              <w:rPr>
                <w:rFonts w:ascii="宋体" w:hAnsi="宋体"/>
                <w:kern w:val="0"/>
                <w:sz w:val="20"/>
                <w:szCs w:val="20"/>
              </w:rPr>
            </w:pPr>
            <w:r>
              <w:rPr>
                <w:rFonts w:ascii="宋体" w:hAnsi="宋体"/>
                <w:spacing w:val="-14"/>
                <w:kern w:val="0"/>
                <w:sz w:val="20"/>
                <w:szCs w:val="20"/>
              </w:rPr>
              <w:t>实际完成率=（实际产出数/计划产出数）×100%。（得分=实际完成率*4分）</w:t>
            </w:r>
            <w:r>
              <w:rPr>
                <w:rFonts w:ascii="宋体" w:hAnsi="宋体"/>
                <w:spacing w:val="-14"/>
                <w:kern w:val="0"/>
                <w:sz w:val="20"/>
                <w:szCs w:val="20"/>
              </w:rPr>
              <w:br w:type="textWrapping"/>
            </w:r>
            <w:r>
              <w:rPr>
                <w:rFonts w:ascii="宋体" w:hAnsi="宋体"/>
                <w:spacing w:val="-14"/>
                <w:kern w:val="0"/>
                <w:sz w:val="20"/>
                <w:szCs w:val="20"/>
              </w:rPr>
              <w:t>实际产出数：一定时期（本年度或项目期）内项目实际产出的产品或提供的服务数量。</w:t>
            </w:r>
            <w:r>
              <w:rPr>
                <w:rFonts w:ascii="宋体" w:hAnsi="宋体"/>
                <w:kern w:val="0"/>
                <w:sz w:val="20"/>
                <w:szCs w:val="20"/>
              </w:rPr>
              <w:br w:type="textWrapping"/>
            </w:r>
            <w:r>
              <w:rPr>
                <w:rFonts w:ascii="宋体" w:hAnsi="宋体"/>
                <w:kern w:val="0"/>
                <w:sz w:val="20"/>
                <w:szCs w:val="20"/>
              </w:rPr>
              <w:t>计划产出数：项目绩效目标确定的在一定时期（本年度或项目期）内计划产出的产品或提供的服务数量。</w:t>
            </w:r>
          </w:p>
        </w:tc>
        <w:tc>
          <w:tcPr>
            <w:tcW w:w="816" w:type="dxa"/>
            <w:noWrap w:val="0"/>
            <w:vAlign w:val="center"/>
          </w:tcPr>
          <w:p w14:paraId="4E278FCA">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4</w:t>
            </w:r>
          </w:p>
        </w:tc>
        <w:tc>
          <w:tcPr>
            <w:tcW w:w="882" w:type="dxa"/>
            <w:noWrap w:val="0"/>
            <w:vAlign w:val="center"/>
          </w:tcPr>
          <w:p w14:paraId="01DBC21A">
            <w:pPr>
              <w:widowControl/>
              <w:jc w:val="left"/>
              <w:rPr>
                <w:rFonts w:ascii="宋体" w:hAnsi="宋体"/>
                <w:kern w:val="0"/>
                <w:sz w:val="24"/>
              </w:rPr>
            </w:pPr>
            <w:r>
              <w:rPr>
                <w:rFonts w:ascii="宋体" w:hAnsi="宋体"/>
                <w:kern w:val="0"/>
                <w:sz w:val="24"/>
              </w:rPr>
              <w:t>　</w:t>
            </w:r>
          </w:p>
        </w:tc>
      </w:tr>
      <w:tr w14:paraId="655F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3" w:type="dxa"/>
            <w:vMerge w:val="continue"/>
            <w:shd w:val="clear" w:color="auto" w:fill="auto"/>
            <w:noWrap w:val="0"/>
            <w:vAlign w:val="center"/>
          </w:tcPr>
          <w:p w14:paraId="41EA27E3">
            <w:pPr>
              <w:widowControl/>
              <w:jc w:val="left"/>
              <w:rPr>
                <w:rFonts w:ascii="宋体" w:hAnsi="宋体"/>
                <w:kern w:val="0"/>
                <w:sz w:val="20"/>
                <w:szCs w:val="20"/>
              </w:rPr>
            </w:pPr>
          </w:p>
        </w:tc>
        <w:tc>
          <w:tcPr>
            <w:tcW w:w="683" w:type="dxa"/>
            <w:vMerge w:val="continue"/>
            <w:shd w:val="clear" w:color="auto" w:fill="auto"/>
            <w:noWrap w:val="0"/>
            <w:vAlign w:val="center"/>
          </w:tcPr>
          <w:p w14:paraId="2367914A">
            <w:pPr>
              <w:widowControl/>
              <w:jc w:val="left"/>
              <w:rPr>
                <w:rFonts w:ascii="宋体" w:hAnsi="宋体"/>
                <w:kern w:val="0"/>
                <w:sz w:val="20"/>
                <w:szCs w:val="20"/>
              </w:rPr>
            </w:pPr>
          </w:p>
        </w:tc>
        <w:tc>
          <w:tcPr>
            <w:tcW w:w="835" w:type="dxa"/>
            <w:shd w:val="clear" w:color="000000" w:fill="FFFFFF"/>
            <w:noWrap w:val="0"/>
            <w:vAlign w:val="center"/>
          </w:tcPr>
          <w:p w14:paraId="1BAD7148">
            <w:pPr>
              <w:widowControl/>
              <w:jc w:val="left"/>
              <w:rPr>
                <w:rFonts w:ascii="宋体" w:hAnsi="宋体"/>
                <w:kern w:val="0"/>
                <w:sz w:val="20"/>
                <w:szCs w:val="20"/>
              </w:rPr>
            </w:pPr>
            <w:r>
              <w:rPr>
                <w:rFonts w:ascii="宋体" w:hAnsi="宋体"/>
                <w:kern w:val="0"/>
                <w:sz w:val="20"/>
                <w:szCs w:val="20"/>
              </w:rPr>
              <w:t>完成及时率（6分）</w:t>
            </w:r>
          </w:p>
        </w:tc>
        <w:tc>
          <w:tcPr>
            <w:tcW w:w="1683" w:type="dxa"/>
            <w:shd w:val="clear" w:color="000000" w:fill="FFFFFF"/>
            <w:noWrap w:val="0"/>
            <w:vAlign w:val="center"/>
          </w:tcPr>
          <w:p w14:paraId="4073B597">
            <w:pPr>
              <w:widowControl/>
              <w:jc w:val="both"/>
              <w:rPr>
                <w:rFonts w:ascii="宋体" w:hAnsi="宋体"/>
                <w:kern w:val="0"/>
                <w:sz w:val="20"/>
                <w:szCs w:val="20"/>
              </w:rPr>
            </w:pPr>
            <w:r>
              <w:rPr>
                <w:rFonts w:ascii="宋体" w:hAnsi="宋体"/>
                <w:kern w:val="0"/>
                <w:sz w:val="20"/>
                <w:szCs w:val="20"/>
              </w:rPr>
              <w:t>项目实际提前完成时间与计划完成时间的比率，用以反映和考核项目产出时效目标的实现程度。</w:t>
            </w:r>
          </w:p>
        </w:tc>
        <w:tc>
          <w:tcPr>
            <w:tcW w:w="3529" w:type="dxa"/>
            <w:shd w:val="clear" w:color="000000" w:fill="FFFFFF"/>
            <w:noWrap w:val="0"/>
            <w:vAlign w:val="center"/>
          </w:tcPr>
          <w:p w14:paraId="49CDC12E">
            <w:pPr>
              <w:widowControl/>
              <w:jc w:val="both"/>
              <w:rPr>
                <w:rFonts w:ascii="宋体" w:hAnsi="宋体"/>
                <w:kern w:val="0"/>
                <w:sz w:val="20"/>
                <w:szCs w:val="20"/>
              </w:rPr>
            </w:pPr>
            <w:r>
              <w:rPr>
                <w:rFonts w:ascii="宋体" w:hAnsi="宋体"/>
                <w:kern w:val="0"/>
                <w:sz w:val="20"/>
                <w:szCs w:val="20"/>
              </w:rPr>
              <w:t>完成及时率=[（计划完成时间-实际完成时间）/计划完成时间]×100%。（1--4季度各得1.5分）</w:t>
            </w:r>
            <w:r>
              <w:rPr>
                <w:rFonts w:ascii="宋体" w:hAnsi="宋体"/>
                <w:kern w:val="0"/>
                <w:sz w:val="20"/>
                <w:szCs w:val="20"/>
              </w:rPr>
              <w:br w:type="textWrapping"/>
            </w:r>
            <w:r>
              <w:rPr>
                <w:rFonts w:ascii="宋体" w:hAnsi="宋体"/>
                <w:kern w:val="0"/>
                <w:sz w:val="20"/>
                <w:szCs w:val="20"/>
              </w:rPr>
              <w:t>实际完成时间：项目实施单位完成该项目实际所耗用的时间。</w:t>
            </w:r>
            <w:r>
              <w:rPr>
                <w:rFonts w:ascii="宋体" w:hAnsi="宋体"/>
                <w:kern w:val="0"/>
                <w:sz w:val="20"/>
                <w:szCs w:val="20"/>
              </w:rPr>
              <w:br w:type="textWrapping"/>
            </w:r>
            <w:r>
              <w:rPr>
                <w:rFonts w:ascii="宋体" w:hAnsi="宋体"/>
                <w:kern w:val="0"/>
                <w:sz w:val="20"/>
                <w:szCs w:val="20"/>
              </w:rPr>
              <w:t>计划完成时间：按照项目实施计划或相关规定完成该项目所需的时间。</w:t>
            </w:r>
          </w:p>
        </w:tc>
        <w:tc>
          <w:tcPr>
            <w:tcW w:w="816" w:type="dxa"/>
            <w:noWrap w:val="0"/>
            <w:vAlign w:val="center"/>
          </w:tcPr>
          <w:p w14:paraId="29D83042">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6</w:t>
            </w:r>
          </w:p>
        </w:tc>
        <w:tc>
          <w:tcPr>
            <w:tcW w:w="882" w:type="dxa"/>
            <w:noWrap w:val="0"/>
            <w:vAlign w:val="center"/>
          </w:tcPr>
          <w:p w14:paraId="2334DF2D">
            <w:pPr>
              <w:widowControl/>
              <w:jc w:val="left"/>
              <w:rPr>
                <w:rFonts w:ascii="宋体" w:hAnsi="宋体"/>
                <w:kern w:val="0"/>
                <w:sz w:val="24"/>
              </w:rPr>
            </w:pPr>
            <w:r>
              <w:rPr>
                <w:rFonts w:ascii="宋体" w:hAnsi="宋体"/>
                <w:kern w:val="0"/>
                <w:sz w:val="24"/>
              </w:rPr>
              <w:t>　</w:t>
            </w:r>
          </w:p>
        </w:tc>
      </w:tr>
      <w:tr w14:paraId="698C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93" w:type="dxa"/>
            <w:vMerge w:val="continue"/>
            <w:shd w:val="clear" w:color="auto" w:fill="auto"/>
            <w:noWrap w:val="0"/>
            <w:vAlign w:val="center"/>
          </w:tcPr>
          <w:p w14:paraId="092BB61F">
            <w:pPr>
              <w:widowControl/>
              <w:jc w:val="left"/>
              <w:rPr>
                <w:rFonts w:ascii="宋体" w:hAnsi="宋体"/>
                <w:kern w:val="0"/>
                <w:sz w:val="20"/>
                <w:szCs w:val="20"/>
              </w:rPr>
            </w:pPr>
          </w:p>
        </w:tc>
        <w:tc>
          <w:tcPr>
            <w:tcW w:w="683" w:type="dxa"/>
            <w:vMerge w:val="continue"/>
            <w:shd w:val="clear" w:color="auto" w:fill="auto"/>
            <w:noWrap w:val="0"/>
            <w:vAlign w:val="center"/>
          </w:tcPr>
          <w:p w14:paraId="4536298E">
            <w:pPr>
              <w:widowControl/>
              <w:jc w:val="left"/>
              <w:rPr>
                <w:rFonts w:ascii="宋体" w:hAnsi="宋体"/>
                <w:kern w:val="0"/>
                <w:sz w:val="20"/>
                <w:szCs w:val="20"/>
              </w:rPr>
            </w:pPr>
          </w:p>
        </w:tc>
        <w:tc>
          <w:tcPr>
            <w:tcW w:w="835" w:type="dxa"/>
            <w:shd w:val="clear" w:color="000000" w:fill="FFFFFF"/>
            <w:noWrap w:val="0"/>
            <w:vAlign w:val="center"/>
          </w:tcPr>
          <w:p w14:paraId="6DB630D5">
            <w:pPr>
              <w:widowControl/>
              <w:jc w:val="left"/>
              <w:rPr>
                <w:rFonts w:ascii="宋体" w:hAnsi="宋体"/>
                <w:kern w:val="0"/>
                <w:sz w:val="20"/>
                <w:szCs w:val="20"/>
              </w:rPr>
            </w:pPr>
            <w:r>
              <w:rPr>
                <w:rFonts w:ascii="宋体" w:hAnsi="宋体"/>
                <w:kern w:val="0"/>
                <w:sz w:val="20"/>
                <w:szCs w:val="20"/>
              </w:rPr>
              <w:t>质量达标率（5分）</w:t>
            </w:r>
          </w:p>
        </w:tc>
        <w:tc>
          <w:tcPr>
            <w:tcW w:w="1683" w:type="dxa"/>
            <w:shd w:val="clear" w:color="000000" w:fill="FFFFFF"/>
            <w:noWrap w:val="0"/>
            <w:vAlign w:val="center"/>
          </w:tcPr>
          <w:p w14:paraId="66780B50">
            <w:pPr>
              <w:widowControl/>
              <w:jc w:val="both"/>
              <w:rPr>
                <w:rFonts w:ascii="宋体" w:hAnsi="宋体"/>
                <w:kern w:val="0"/>
                <w:sz w:val="20"/>
                <w:szCs w:val="20"/>
              </w:rPr>
            </w:pPr>
            <w:r>
              <w:rPr>
                <w:rFonts w:ascii="宋体" w:hAnsi="宋体"/>
                <w:kern w:val="0"/>
                <w:sz w:val="20"/>
                <w:szCs w:val="20"/>
              </w:rPr>
              <w:t>项目完成的质量达标产出数与实际产出数的比率，用以反映和考核项目产出质量目标的实现程度。</w:t>
            </w:r>
          </w:p>
        </w:tc>
        <w:tc>
          <w:tcPr>
            <w:tcW w:w="3529" w:type="dxa"/>
            <w:shd w:val="clear" w:color="000000" w:fill="FFFFFF"/>
            <w:noWrap w:val="0"/>
            <w:vAlign w:val="center"/>
          </w:tcPr>
          <w:p w14:paraId="4D049923">
            <w:pPr>
              <w:widowControl/>
              <w:jc w:val="both"/>
              <w:rPr>
                <w:rFonts w:ascii="宋体" w:hAnsi="宋体"/>
                <w:kern w:val="0"/>
                <w:sz w:val="20"/>
                <w:szCs w:val="20"/>
              </w:rPr>
            </w:pPr>
            <w:r>
              <w:rPr>
                <w:rFonts w:ascii="宋体" w:hAnsi="宋体"/>
                <w:kern w:val="0"/>
                <w:sz w:val="20"/>
                <w:szCs w:val="20"/>
              </w:rPr>
              <w:t>质量达标率=（质量达标产出数/实际产出数）×100%。（得分=达标率*5分）</w:t>
            </w:r>
            <w:r>
              <w:rPr>
                <w:rFonts w:ascii="宋体" w:hAnsi="宋体"/>
                <w:kern w:val="0"/>
                <w:sz w:val="20"/>
                <w:szCs w:val="20"/>
              </w:rPr>
              <w:br w:type="textWrapping"/>
            </w:r>
            <w:r>
              <w:rPr>
                <w:rFonts w:ascii="宋体" w:hAnsi="宋体"/>
                <w:kern w:val="0"/>
                <w:sz w:val="20"/>
                <w:szCs w:val="20"/>
              </w:rPr>
              <w:t>质量达标产出数：一定时期（本年度或项目期）内实际达到既定质量标准的产品或服务数量。</w:t>
            </w:r>
            <w:r>
              <w:rPr>
                <w:rFonts w:ascii="宋体" w:hAnsi="宋体"/>
                <w:kern w:val="0"/>
                <w:sz w:val="20"/>
                <w:szCs w:val="20"/>
              </w:rPr>
              <w:br w:type="textWrapping"/>
            </w:r>
            <w:r>
              <w:rPr>
                <w:rFonts w:ascii="宋体" w:hAnsi="宋体"/>
                <w:spacing w:val="-10"/>
                <w:kern w:val="0"/>
                <w:sz w:val="20"/>
                <w:szCs w:val="20"/>
              </w:rPr>
              <w:t>既定质量标准是指项目实施单位设立绩效目标时依据计划标准、行业标准、历史标准或其他标准而设定的绩效指标值。</w:t>
            </w:r>
          </w:p>
        </w:tc>
        <w:tc>
          <w:tcPr>
            <w:tcW w:w="816" w:type="dxa"/>
            <w:noWrap w:val="0"/>
            <w:vAlign w:val="center"/>
          </w:tcPr>
          <w:p w14:paraId="4F96E0A6">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82" w:type="dxa"/>
            <w:noWrap w:val="0"/>
            <w:vAlign w:val="center"/>
          </w:tcPr>
          <w:p w14:paraId="7140C861">
            <w:pPr>
              <w:widowControl/>
              <w:jc w:val="left"/>
              <w:rPr>
                <w:rFonts w:ascii="宋体" w:hAnsi="宋体"/>
                <w:kern w:val="0"/>
                <w:sz w:val="24"/>
              </w:rPr>
            </w:pPr>
            <w:r>
              <w:rPr>
                <w:rFonts w:ascii="宋体" w:hAnsi="宋体"/>
                <w:kern w:val="0"/>
                <w:sz w:val="24"/>
              </w:rPr>
              <w:t>　</w:t>
            </w:r>
          </w:p>
        </w:tc>
      </w:tr>
      <w:tr w14:paraId="0BDF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93" w:type="dxa"/>
            <w:vMerge w:val="continue"/>
            <w:shd w:val="clear" w:color="auto" w:fill="auto"/>
            <w:noWrap w:val="0"/>
            <w:vAlign w:val="center"/>
          </w:tcPr>
          <w:p w14:paraId="4E055B96">
            <w:pPr>
              <w:widowControl/>
              <w:jc w:val="left"/>
              <w:rPr>
                <w:rFonts w:ascii="宋体" w:hAnsi="宋体"/>
                <w:kern w:val="0"/>
                <w:sz w:val="20"/>
                <w:szCs w:val="20"/>
              </w:rPr>
            </w:pPr>
          </w:p>
        </w:tc>
        <w:tc>
          <w:tcPr>
            <w:tcW w:w="683" w:type="dxa"/>
            <w:vMerge w:val="continue"/>
            <w:shd w:val="clear" w:color="auto" w:fill="auto"/>
            <w:noWrap w:val="0"/>
            <w:vAlign w:val="center"/>
          </w:tcPr>
          <w:p w14:paraId="0EC89D3A">
            <w:pPr>
              <w:widowControl/>
              <w:jc w:val="left"/>
              <w:rPr>
                <w:rFonts w:ascii="宋体" w:hAnsi="宋体"/>
                <w:kern w:val="0"/>
                <w:sz w:val="20"/>
                <w:szCs w:val="20"/>
              </w:rPr>
            </w:pPr>
          </w:p>
        </w:tc>
        <w:tc>
          <w:tcPr>
            <w:tcW w:w="835" w:type="dxa"/>
            <w:shd w:val="clear" w:color="000000" w:fill="FFFFFF"/>
            <w:noWrap w:val="0"/>
            <w:vAlign w:val="center"/>
          </w:tcPr>
          <w:p w14:paraId="54A1580F">
            <w:pPr>
              <w:widowControl/>
              <w:jc w:val="left"/>
              <w:rPr>
                <w:rFonts w:ascii="宋体" w:hAnsi="宋体"/>
                <w:kern w:val="0"/>
                <w:sz w:val="20"/>
                <w:szCs w:val="20"/>
              </w:rPr>
            </w:pPr>
            <w:r>
              <w:rPr>
                <w:rFonts w:ascii="宋体" w:hAnsi="宋体"/>
                <w:kern w:val="0"/>
                <w:sz w:val="20"/>
                <w:szCs w:val="20"/>
              </w:rPr>
              <w:t>成本节约率（5分）</w:t>
            </w:r>
          </w:p>
        </w:tc>
        <w:tc>
          <w:tcPr>
            <w:tcW w:w="1683" w:type="dxa"/>
            <w:shd w:val="clear" w:color="000000" w:fill="FFFFFF"/>
            <w:noWrap w:val="0"/>
            <w:vAlign w:val="center"/>
          </w:tcPr>
          <w:p w14:paraId="67BFA02B">
            <w:pPr>
              <w:widowControl/>
              <w:jc w:val="both"/>
              <w:rPr>
                <w:rFonts w:ascii="宋体" w:hAnsi="宋体"/>
                <w:kern w:val="0"/>
                <w:sz w:val="20"/>
                <w:szCs w:val="20"/>
              </w:rPr>
            </w:pPr>
            <w:r>
              <w:rPr>
                <w:rFonts w:ascii="宋体" w:hAnsi="宋体"/>
                <w:kern w:val="0"/>
                <w:sz w:val="20"/>
                <w:szCs w:val="20"/>
              </w:rPr>
              <w:t>完成项目计划工作目标的实际节约成本与计划成本的比率，用以反映和考核项目的成本节约程度。</w:t>
            </w:r>
          </w:p>
        </w:tc>
        <w:tc>
          <w:tcPr>
            <w:tcW w:w="3529" w:type="dxa"/>
            <w:shd w:val="clear" w:color="000000" w:fill="FFFFFF"/>
            <w:noWrap w:val="0"/>
            <w:vAlign w:val="center"/>
          </w:tcPr>
          <w:p w14:paraId="3613FAF2">
            <w:pPr>
              <w:widowControl/>
              <w:jc w:val="both"/>
              <w:rPr>
                <w:rFonts w:ascii="宋体" w:hAnsi="宋体"/>
                <w:kern w:val="0"/>
                <w:sz w:val="20"/>
                <w:szCs w:val="20"/>
              </w:rPr>
            </w:pPr>
            <w:r>
              <w:rPr>
                <w:rFonts w:ascii="宋体" w:hAnsi="宋体"/>
                <w:kern w:val="0"/>
                <w:sz w:val="20"/>
                <w:szCs w:val="20"/>
              </w:rPr>
              <w:t>成本节约率=[（计划成本-实际成本）/计划成本]×100%。(节约的计5分,增加的按比例扣分)</w:t>
            </w:r>
            <w:r>
              <w:rPr>
                <w:rFonts w:ascii="宋体" w:hAnsi="宋体"/>
                <w:kern w:val="0"/>
                <w:sz w:val="20"/>
                <w:szCs w:val="20"/>
              </w:rPr>
              <w:br w:type="textWrapping"/>
            </w:r>
            <w:r>
              <w:rPr>
                <w:rFonts w:ascii="宋体" w:hAnsi="宋体"/>
                <w:spacing w:val="-10"/>
                <w:kern w:val="0"/>
                <w:sz w:val="20"/>
                <w:szCs w:val="20"/>
              </w:rPr>
              <w:t>实际成本：项目实施单位如期、保质、保量完成既定工作目标实际所耗费的支出。</w:t>
            </w:r>
            <w:r>
              <w:rPr>
                <w:rFonts w:ascii="宋体" w:hAnsi="宋体"/>
                <w:spacing w:val="-10"/>
                <w:kern w:val="0"/>
                <w:sz w:val="20"/>
                <w:szCs w:val="20"/>
              </w:rPr>
              <w:br w:type="textWrapping"/>
            </w:r>
            <w:r>
              <w:rPr>
                <w:rFonts w:ascii="宋体" w:hAnsi="宋体"/>
                <w:spacing w:val="-10"/>
                <w:kern w:val="0"/>
                <w:sz w:val="20"/>
                <w:szCs w:val="20"/>
              </w:rPr>
              <w:t>计划成本：项目实施单位为完成工作目标计划安排的支出，一般以项目预算为参考。</w:t>
            </w:r>
          </w:p>
        </w:tc>
        <w:tc>
          <w:tcPr>
            <w:tcW w:w="816" w:type="dxa"/>
            <w:noWrap w:val="0"/>
            <w:vAlign w:val="center"/>
          </w:tcPr>
          <w:p w14:paraId="4FB38B3F">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82" w:type="dxa"/>
            <w:noWrap w:val="0"/>
            <w:vAlign w:val="center"/>
          </w:tcPr>
          <w:p w14:paraId="4AFA0001">
            <w:pPr>
              <w:widowControl/>
              <w:jc w:val="left"/>
              <w:rPr>
                <w:rFonts w:ascii="宋体" w:hAnsi="宋体"/>
                <w:kern w:val="0"/>
                <w:sz w:val="24"/>
              </w:rPr>
            </w:pPr>
            <w:r>
              <w:rPr>
                <w:rFonts w:ascii="宋体" w:hAnsi="宋体"/>
                <w:kern w:val="0"/>
                <w:sz w:val="24"/>
              </w:rPr>
              <w:t>　</w:t>
            </w:r>
          </w:p>
        </w:tc>
      </w:tr>
      <w:tr w14:paraId="6DE9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3" w:type="dxa"/>
            <w:vMerge w:val="restart"/>
            <w:shd w:val="clear" w:color="000000" w:fill="FFFFFF"/>
            <w:noWrap w:val="0"/>
            <w:textDirection w:val="tbRlV"/>
            <w:vAlign w:val="center"/>
          </w:tcPr>
          <w:p w14:paraId="65E8916D">
            <w:pPr>
              <w:widowControl/>
              <w:jc w:val="center"/>
              <w:rPr>
                <w:rFonts w:ascii="宋体" w:hAnsi="宋体"/>
                <w:kern w:val="0"/>
                <w:sz w:val="20"/>
                <w:szCs w:val="20"/>
              </w:rPr>
            </w:pPr>
            <w:r>
              <w:rPr>
                <w:rFonts w:ascii="宋体" w:hAnsi="宋体"/>
                <w:kern w:val="0"/>
                <w:sz w:val="20"/>
                <w:szCs w:val="20"/>
              </w:rPr>
              <w:t>效   果（30分）</w:t>
            </w:r>
          </w:p>
        </w:tc>
        <w:tc>
          <w:tcPr>
            <w:tcW w:w="683" w:type="dxa"/>
            <w:vMerge w:val="restart"/>
            <w:shd w:val="clear" w:color="000000" w:fill="FFFFFF"/>
            <w:noWrap w:val="0"/>
            <w:vAlign w:val="center"/>
          </w:tcPr>
          <w:p w14:paraId="4093293D">
            <w:pPr>
              <w:widowControl/>
              <w:jc w:val="center"/>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效益（30分）</w:t>
            </w:r>
          </w:p>
        </w:tc>
        <w:tc>
          <w:tcPr>
            <w:tcW w:w="835" w:type="dxa"/>
            <w:shd w:val="clear" w:color="000000" w:fill="FFFFFF"/>
            <w:noWrap w:val="0"/>
            <w:vAlign w:val="center"/>
          </w:tcPr>
          <w:p w14:paraId="7388281F">
            <w:pPr>
              <w:widowControl/>
              <w:jc w:val="left"/>
              <w:rPr>
                <w:rFonts w:ascii="宋体" w:hAnsi="宋体"/>
                <w:kern w:val="0"/>
                <w:sz w:val="20"/>
                <w:szCs w:val="20"/>
              </w:rPr>
            </w:pPr>
            <w:r>
              <w:rPr>
                <w:rFonts w:ascii="宋体" w:hAnsi="宋体"/>
                <w:kern w:val="0"/>
                <w:sz w:val="20"/>
                <w:szCs w:val="20"/>
              </w:rPr>
              <w:t>经济效益(5分）</w:t>
            </w:r>
          </w:p>
        </w:tc>
        <w:tc>
          <w:tcPr>
            <w:tcW w:w="1683" w:type="dxa"/>
            <w:shd w:val="clear" w:color="000000" w:fill="FFFFFF"/>
            <w:noWrap w:val="0"/>
            <w:vAlign w:val="center"/>
          </w:tcPr>
          <w:p w14:paraId="543D2A3F">
            <w:pPr>
              <w:widowControl/>
              <w:jc w:val="both"/>
              <w:rPr>
                <w:rFonts w:ascii="宋体" w:hAnsi="宋体"/>
                <w:spacing w:val="-10"/>
                <w:kern w:val="0"/>
                <w:sz w:val="20"/>
                <w:szCs w:val="20"/>
              </w:rPr>
            </w:pPr>
            <w:r>
              <w:rPr>
                <w:rFonts w:ascii="宋体" w:hAnsi="宋体"/>
                <w:spacing w:val="-10"/>
                <w:kern w:val="0"/>
                <w:sz w:val="20"/>
                <w:szCs w:val="20"/>
              </w:rPr>
              <w:t>项目实施对经济发展所带来的直接或间接影响情况。</w:t>
            </w:r>
          </w:p>
        </w:tc>
        <w:tc>
          <w:tcPr>
            <w:tcW w:w="3529" w:type="dxa"/>
            <w:vMerge w:val="restart"/>
            <w:shd w:val="clear" w:color="000000" w:fill="FFFFFF"/>
            <w:noWrap w:val="0"/>
            <w:vAlign w:val="center"/>
          </w:tcPr>
          <w:p w14:paraId="474BE380">
            <w:pPr>
              <w:widowControl/>
              <w:jc w:val="both"/>
              <w:rPr>
                <w:rFonts w:ascii="宋体" w:hAnsi="宋体"/>
                <w:kern w:val="0"/>
                <w:sz w:val="20"/>
                <w:szCs w:val="20"/>
              </w:rPr>
            </w:pPr>
            <w:r>
              <w:rPr>
                <w:rFonts w:ascii="宋体" w:hAnsi="宋体"/>
                <w:kern w:val="0"/>
                <w:sz w:val="20"/>
                <w:szCs w:val="20"/>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816" w:type="dxa"/>
            <w:noWrap w:val="0"/>
            <w:vAlign w:val="center"/>
          </w:tcPr>
          <w:p w14:paraId="777E2B1F">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82" w:type="dxa"/>
            <w:noWrap w:val="0"/>
            <w:vAlign w:val="center"/>
          </w:tcPr>
          <w:p w14:paraId="24FE9146">
            <w:pPr>
              <w:widowControl/>
              <w:jc w:val="left"/>
              <w:rPr>
                <w:rFonts w:ascii="宋体" w:hAnsi="宋体"/>
                <w:kern w:val="0"/>
                <w:sz w:val="24"/>
              </w:rPr>
            </w:pPr>
            <w:r>
              <w:rPr>
                <w:rFonts w:ascii="宋体" w:hAnsi="宋体"/>
                <w:kern w:val="0"/>
                <w:sz w:val="24"/>
              </w:rPr>
              <w:t>　</w:t>
            </w:r>
          </w:p>
        </w:tc>
      </w:tr>
      <w:tr w14:paraId="5656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3" w:type="dxa"/>
            <w:vMerge w:val="continue"/>
            <w:shd w:val="clear" w:color="auto" w:fill="auto"/>
            <w:noWrap w:val="0"/>
            <w:vAlign w:val="center"/>
          </w:tcPr>
          <w:p w14:paraId="548439D7">
            <w:pPr>
              <w:widowControl/>
              <w:jc w:val="left"/>
              <w:rPr>
                <w:rFonts w:ascii="宋体" w:hAnsi="宋体"/>
                <w:kern w:val="0"/>
                <w:sz w:val="20"/>
                <w:szCs w:val="20"/>
              </w:rPr>
            </w:pPr>
          </w:p>
        </w:tc>
        <w:tc>
          <w:tcPr>
            <w:tcW w:w="683" w:type="dxa"/>
            <w:vMerge w:val="continue"/>
            <w:shd w:val="clear" w:color="auto" w:fill="auto"/>
            <w:noWrap w:val="0"/>
            <w:vAlign w:val="center"/>
          </w:tcPr>
          <w:p w14:paraId="114AD5B6">
            <w:pPr>
              <w:widowControl/>
              <w:jc w:val="left"/>
              <w:rPr>
                <w:rFonts w:ascii="宋体" w:hAnsi="宋体"/>
                <w:kern w:val="0"/>
                <w:sz w:val="20"/>
                <w:szCs w:val="20"/>
              </w:rPr>
            </w:pPr>
          </w:p>
        </w:tc>
        <w:tc>
          <w:tcPr>
            <w:tcW w:w="835" w:type="dxa"/>
            <w:shd w:val="clear" w:color="000000" w:fill="FFFFFF"/>
            <w:noWrap w:val="0"/>
            <w:vAlign w:val="center"/>
          </w:tcPr>
          <w:p w14:paraId="3BA4E6C6">
            <w:pPr>
              <w:widowControl/>
              <w:jc w:val="left"/>
              <w:rPr>
                <w:rFonts w:ascii="宋体" w:hAnsi="宋体"/>
                <w:kern w:val="0"/>
                <w:sz w:val="20"/>
                <w:szCs w:val="20"/>
              </w:rPr>
            </w:pPr>
            <w:r>
              <w:rPr>
                <w:rFonts w:ascii="宋体" w:hAnsi="宋体"/>
                <w:kern w:val="0"/>
                <w:sz w:val="20"/>
                <w:szCs w:val="20"/>
              </w:rPr>
              <w:t>社会效益（5分）</w:t>
            </w:r>
          </w:p>
        </w:tc>
        <w:tc>
          <w:tcPr>
            <w:tcW w:w="1683" w:type="dxa"/>
            <w:shd w:val="clear" w:color="000000" w:fill="FFFFFF"/>
            <w:noWrap w:val="0"/>
            <w:vAlign w:val="center"/>
          </w:tcPr>
          <w:p w14:paraId="30A6AF2D">
            <w:pPr>
              <w:widowControl/>
              <w:jc w:val="both"/>
              <w:rPr>
                <w:rFonts w:ascii="宋体" w:hAnsi="宋体"/>
                <w:spacing w:val="-10"/>
                <w:kern w:val="0"/>
                <w:sz w:val="20"/>
                <w:szCs w:val="20"/>
              </w:rPr>
            </w:pPr>
            <w:r>
              <w:rPr>
                <w:rFonts w:ascii="宋体" w:hAnsi="宋体"/>
                <w:spacing w:val="-10"/>
                <w:kern w:val="0"/>
                <w:sz w:val="20"/>
                <w:szCs w:val="20"/>
              </w:rPr>
              <w:t>项目实施对社会发展所带来的直接或间接影响情况。</w:t>
            </w:r>
          </w:p>
        </w:tc>
        <w:tc>
          <w:tcPr>
            <w:tcW w:w="3529" w:type="dxa"/>
            <w:vMerge w:val="continue"/>
            <w:noWrap w:val="0"/>
            <w:vAlign w:val="center"/>
          </w:tcPr>
          <w:p w14:paraId="679066DD">
            <w:pPr>
              <w:widowControl/>
              <w:jc w:val="both"/>
              <w:rPr>
                <w:rFonts w:ascii="宋体" w:hAnsi="宋体"/>
                <w:kern w:val="0"/>
                <w:sz w:val="20"/>
                <w:szCs w:val="20"/>
              </w:rPr>
            </w:pPr>
          </w:p>
        </w:tc>
        <w:tc>
          <w:tcPr>
            <w:tcW w:w="816" w:type="dxa"/>
            <w:noWrap w:val="0"/>
            <w:vAlign w:val="center"/>
          </w:tcPr>
          <w:p w14:paraId="66CEFFBD">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82" w:type="dxa"/>
            <w:noWrap w:val="0"/>
            <w:vAlign w:val="center"/>
          </w:tcPr>
          <w:p w14:paraId="55255EDE">
            <w:pPr>
              <w:widowControl/>
              <w:jc w:val="left"/>
              <w:rPr>
                <w:rFonts w:ascii="宋体" w:hAnsi="宋体"/>
                <w:kern w:val="0"/>
                <w:sz w:val="24"/>
              </w:rPr>
            </w:pPr>
            <w:r>
              <w:rPr>
                <w:rFonts w:ascii="宋体" w:hAnsi="宋体"/>
                <w:kern w:val="0"/>
                <w:sz w:val="24"/>
              </w:rPr>
              <w:t>　</w:t>
            </w:r>
          </w:p>
        </w:tc>
      </w:tr>
      <w:tr w14:paraId="1EC5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3" w:type="dxa"/>
            <w:vMerge w:val="continue"/>
            <w:shd w:val="clear" w:color="auto" w:fill="auto"/>
            <w:noWrap w:val="0"/>
            <w:vAlign w:val="center"/>
          </w:tcPr>
          <w:p w14:paraId="039F22C2">
            <w:pPr>
              <w:widowControl/>
              <w:jc w:val="left"/>
              <w:rPr>
                <w:rFonts w:ascii="宋体" w:hAnsi="宋体"/>
                <w:kern w:val="0"/>
                <w:sz w:val="20"/>
                <w:szCs w:val="20"/>
              </w:rPr>
            </w:pPr>
          </w:p>
        </w:tc>
        <w:tc>
          <w:tcPr>
            <w:tcW w:w="683" w:type="dxa"/>
            <w:vMerge w:val="continue"/>
            <w:shd w:val="clear" w:color="auto" w:fill="auto"/>
            <w:noWrap w:val="0"/>
            <w:vAlign w:val="center"/>
          </w:tcPr>
          <w:p w14:paraId="2C7ED343">
            <w:pPr>
              <w:widowControl/>
              <w:jc w:val="left"/>
              <w:rPr>
                <w:rFonts w:ascii="宋体" w:hAnsi="宋体"/>
                <w:kern w:val="0"/>
                <w:sz w:val="20"/>
                <w:szCs w:val="20"/>
              </w:rPr>
            </w:pPr>
          </w:p>
        </w:tc>
        <w:tc>
          <w:tcPr>
            <w:tcW w:w="835" w:type="dxa"/>
            <w:shd w:val="clear" w:color="000000" w:fill="FFFFFF"/>
            <w:noWrap w:val="0"/>
            <w:vAlign w:val="center"/>
          </w:tcPr>
          <w:p w14:paraId="2CDCCBC9">
            <w:pPr>
              <w:widowControl/>
              <w:jc w:val="left"/>
              <w:rPr>
                <w:rFonts w:ascii="宋体" w:hAnsi="宋体"/>
                <w:kern w:val="0"/>
                <w:sz w:val="20"/>
                <w:szCs w:val="20"/>
              </w:rPr>
            </w:pPr>
            <w:r>
              <w:rPr>
                <w:rFonts w:ascii="宋体" w:hAnsi="宋体"/>
                <w:kern w:val="0"/>
                <w:sz w:val="20"/>
                <w:szCs w:val="20"/>
              </w:rPr>
              <w:t>生态效益（5分）</w:t>
            </w:r>
          </w:p>
        </w:tc>
        <w:tc>
          <w:tcPr>
            <w:tcW w:w="1683" w:type="dxa"/>
            <w:shd w:val="clear" w:color="000000" w:fill="FFFFFF"/>
            <w:noWrap w:val="0"/>
            <w:vAlign w:val="center"/>
          </w:tcPr>
          <w:p w14:paraId="10F16418">
            <w:pPr>
              <w:widowControl/>
              <w:jc w:val="both"/>
              <w:rPr>
                <w:rFonts w:ascii="宋体" w:hAnsi="宋体"/>
                <w:spacing w:val="-10"/>
                <w:kern w:val="0"/>
                <w:sz w:val="20"/>
                <w:szCs w:val="20"/>
              </w:rPr>
            </w:pPr>
            <w:r>
              <w:rPr>
                <w:rFonts w:ascii="宋体" w:hAnsi="宋体"/>
                <w:spacing w:val="-10"/>
                <w:kern w:val="0"/>
                <w:sz w:val="20"/>
                <w:szCs w:val="20"/>
              </w:rPr>
              <w:t>项目实施对生态环境所带来的直接或间接影响情况。</w:t>
            </w:r>
          </w:p>
        </w:tc>
        <w:tc>
          <w:tcPr>
            <w:tcW w:w="3529" w:type="dxa"/>
            <w:vMerge w:val="continue"/>
            <w:noWrap w:val="0"/>
            <w:vAlign w:val="center"/>
          </w:tcPr>
          <w:p w14:paraId="1BD90810">
            <w:pPr>
              <w:widowControl/>
              <w:jc w:val="both"/>
              <w:rPr>
                <w:rFonts w:ascii="宋体" w:hAnsi="宋体"/>
                <w:kern w:val="0"/>
                <w:sz w:val="20"/>
                <w:szCs w:val="20"/>
              </w:rPr>
            </w:pPr>
          </w:p>
        </w:tc>
        <w:tc>
          <w:tcPr>
            <w:tcW w:w="816" w:type="dxa"/>
            <w:noWrap w:val="0"/>
            <w:vAlign w:val="center"/>
          </w:tcPr>
          <w:p w14:paraId="3A93BA23">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82" w:type="dxa"/>
            <w:noWrap w:val="0"/>
            <w:vAlign w:val="center"/>
          </w:tcPr>
          <w:p w14:paraId="7C109DE1">
            <w:pPr>
              <w:widowControl/>
              <w:jc w:val="left"/>
              <w:rPr>
                <w:rFonts w:ascii="宋体" w:hAnsi="宋体"/>
                <w:kern w:val="0"/>
                <w:sz w:val="24"/>
              </w:rPr>
            </w:pPr>
            <w:r>
              <w:rPr>
                <w:rFonts w:ascii="宋体" w:hAnsi="宋体"/>
                <w:kern w:val="0"/>
                <w:sz w:val="24"/>
              </w:rPr>
              <w:t>　</w:t>
            </w:r>
          </w:p>
        </w:tc>
      </w:tr>
      <w:tr w14:paraId="34A4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3" w:type="dxa"/>
            <w:vMerge w:val="continue"/>
            <w:shd w:val="clear" w:color="auto" w:fill="auto"/>
            <w:noWrap w:val="0"/>
            <w:vAlign w:val="center"/>
          </w:tcPr>
          <w:p w14:paraId="68CA2E33">
            <w:pPr>
              <w:widowControl/>
              <w:jc w:val="left"/>
              <w:rPr>
                <w:rFonts w:ascii="宋体" w:hAnsi="宋体"/>
                <w:kern w:val="0"/>
                <w:sz w:val="20"/>
                <w:szCs w:val="20"/>
              </w:rPr>
            </w:pPr>
          </w:p>
        </w:tc>
        <w:tc>
          <w:tcPr>
            <w:tcW w:w="683" w:type="dxa"/>
            <w:vMerge w:val="continue"/>
            <w:shd w:val="clear" w:color="auto" w:fill="auto"/>
            <w:noWrap w:val="0"/>
            <w:vAlign w:val="center"/>
          </w:tcPr>
          <w:p w14:paraId="0AE702B0">
            <w:pPr>
              <w:widowControl/>
              <w:jc w:val="left"/>
              <w:rPr>
                <w:rFonts w:ascii="宋体" w:hAnsi="宋体"/>
                <w:kern w:val="0"/>
                <w:sz w:val="20"/>
                <w:szCs w:val="20"/>
              </w:rPr>
            </w:pPr>
          </w:p>
        </w:tc>
        <w:tc>
          <w:tcPr>
            <w:tcW w:w="835" w:type="dxa"/>
            <w:shd w:val="clear" w:color="000000" w:fill="FFFFFF"/>
            <w:noWrap w:val="0"/>
            <w:vAlign w:val="center"/>
          </w:tcPr>
          <w:p w14:paraId="5964522D">
            <w:pPr>
              <w:widowControl/>
              <w:jc w:val="left"/>
              <w:rPr>
                <w:rFonts w:ascii="宋体" w:hAnsi="宋体"/>
                <w:kern w:val="0"/>
                <w:sz w:val="20"/>
                <w:szCs w:val="20"/>
              </w:rPr>
            </w:pPr>
            <w:r>
              <w:rPr>
                <w:rFonts w:ascii="宋体" w:hAnsi="宋体"/>
                <w:kern w:val="0"/>
                <w:sz w:val="20"/>
                <w:szCs w:val="20"/>
              </w:rPr>
              <w:t>可持续影响</w:t>
            </w:r>
          </w:p>
        </w:tc>
        <w:tc>
          <w:tcPr>
            <w:tcW w:w="1683" w:type="dxa"/>
            <w:shd w:val="clear" w:color="000000" w:fill="FFFFFF"/>
            <w:noWrap w:val="0"/>
            <w:vAlign w:val="center"/>
          </w:tcPr>
          <w:p w14:paraId="7D1770FA">
            <w:pPr>
              <w:widowControl/>
              <w:jc w:val="both"/>
              <w:rPr>
                <w:rFonts w:ascii="宋体" w:hAnsi="宋体"/>
                <w:kern w:val="0"/>
                <w:sz w:val="20"/>
                <w:szCs w:val="20"/>
              </w:rPr>
            </w:pPr>
            <w:r>
              <w:rPr>
                <w:rFonts w:ascii="宋体" w:hAnsi="宋体"/>
                <w:kern w:val="0"/>
                <w:sz w:val="20"/>
                <w:szCs w:val="20"/>
              </w:rPr>
              <w:t>项目后续运行及成效发挥的可持续影响情况。</w:t>
            </w:r>
          </w:p>
        </w:tc>
        <w:tc>
          <w:tcPr>
            <w:tcW w:w="3529" w:type="dxa"/>
            <w:vMerge w:val="continue"/>
            <w:noWrap w:val="0"/>
            <w:vAlign w:val="center"/>
          </w:tcPr>
          <w:p w14:paraId="58B009DD">
            <w:pPr>
              <w:widowControl/>
              <w:jc w:val="both"/>
              <w:rPr>
                <w:rFonts w:ascii="宋体" w:hAnsi="宋体"/>
                <w:kern w:val="0"/>
                <w:sz w:val="20"/>
                <w:szCs w:val="20"/>
              </w:rPr>
            </w:pPr>
          </w:p>
        </w:tc>
        <w:tc>
          <w:tcPr>
            <w:tcW w:w="816" w:type="dxa"/>
            <w:noWrap w:val="0"/>
            <w:vAlign w:val="center"/>
          </w:tcPr>
          <w:p w14:paraId="62ABA15F">
            <w:pPr>
              <w:widowControl/>
              <w:jc w:val="left"/>
              <w:rPr>
                <w:rFonts w:hint="eastAsia" w:ascii="宋体" w:hAnsi="宋体"/>
                <w:kern w:val="0"/>
                <w:sz w:val="24"/>
              </w:rPr>
            </w:pPr>
            <w:r>
              <w:rPr>
                <w:rFonts w:ascii="宋体" w:hAnsi="宋体"/>
                <w:kern w:val="0"/>
                <w:sz w:val="24"/>
              </w:rPr>
              <w:t>　</w:t>
            </w:r>
            <w:r>
              <w:rPr>
                <w:rFonts w:hint="eastAsia" w:ascii="宋体" w:hAnsi="宋体"/>
                <w:kern w:val="0"/>
                <w:sz w:val="24"/>
              </w:rPr>
              <w:t>5</w:t>
            </w:r>
          </w:p>
        </w:tc>
        <w:tc>
          <w:tcPr>
            <w:tcW w:w="882" w:type="dxa"/>
            <w:noWrap w:val="0"/>
            <w:vAlign w:val="center"/>
          </w:tcPr>
          <w:p w14:paraId="39B28866">
            <w:pPr>
              <w:widowControl/>
              <w:jc w:val="left"/>
              <w:rPr>
                <w:rFonts w:ascii="宋体" w:hAnsi="宋体"/>
                <w:kern w:val="0"/>
                <w:sz w:val="24"/>
              </w:rPr>
            </w:pPr>
            <w:r>
              <w:rPr>
                <w:rFonts w:ascii="宋体" w:hAnsi="宋体"/>
                <w:kern w:val="0"/>
                <w:sz w:val="24"/>
              </w:rPr>
              <w:t>　</w:t>
            </w:r>
          </w:p>
        </w:tc>
      </w:tr>
      <w:tr w14:paraId="4AC1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93" w:type="dxa"/>
            <w:vMerge w:val="continue"/>
            <w:shd w:val="clear" w:color="auto" w:fill="auto"/>
            <w:noWrap w:val="0"/>
            <w:vAlign w:val="center"/>
          </w:tcPr>
          <w:p w14:paraId="288B65BD">
            <w:pPr>
              <w:widowControl/>
              <w:jc w:val="left"/>
              <w:rPr>
                <w:rFonts w:ascii="宋体" w:hAnsi="宋体"/>
                <w:kern w:val="0"/>
                <w:sz w:val="20"/>
                <w:szCs w:val="20"/>
              </w:rPr>
            </w:pPr>
          </w:p>
        </w:tc>
        <w:tc>
          <w:tcPr>
            <w:tcW w:w="683" w:type="dxa"/>
            <w:vMerge w:val="continue"/>
            <w:shd w:val="clear" w:color="auto" w:fill="auto"/>
            <w:noWrap w:val="0"/>
            <w:vAlign w:val="center"/>
          </w:tcPr>
          <w:p w14:paraId="2AEEA5F0">
            <w:pPr>
              <w:widowControl/>
              <w:jc w:val="left"/>
              <w:rPr>
                <w:rFonts w:ascii="宋体" w:hAnsi="宋体"/>
                <w:kern w:val="0"/>
                <w:sz w:val="20"/>
                <w:szCs w:val="20"/>
              </w:rPr>
            </w:pPr>
          </w:p>
        </w:tc>
        <w:tc>
          <w:tcPr>
            <w:tcW w:w="835" w:type="dxa"/>
            <w:shd w:val="clear" w:color="000000" w:fill="FFFFFF"/>
            <w:noWrap w:val="0"/>
            <w:vAlign w:val="center"/>
          </w:tcPr>
          <w:p w14:paraId="3F27AEF2">
            <w:pPr>
              <w:widowControl/>
              <w:jc w:val="left"/>
              <w:rPr>
                <w:rFonts w:ascii="宋体" w:hAnsi="宋体"/>
                <w:spacing w:val="-10"/>
                <w:kern w:val="0"/>
                <w:sz w:val="20"/>
                <w:szCs w:val="20"/>
              </w:rPr>
            </w:pPr>
            <w:r>
              <w:rPr>
                <w:rFonts w:ascii="宋体" w:hAnsi="宋体"/>
                <w:spacing w:val="-10"/>
                <w:kern w:val="0"/>
                <w:sz w:val="20"/>
                <w:szCs w:val="20"/>
              </w:rPr>
              <w:t>社会公众或服务对象满意度（10分）</w:t>
            </w:r>
          </w:p>
        </w:tc>
        <w:tc>
          <w:tcPr>
            <w:tcW w:w="1683" w:type="dxa"/>
            <w:shd w:val="clear" w:color="000000" w:fill="FFFFFF"/>
            <w:noWrap w:val="0"/>
            <w:vAlign w:val="center"/>
          </w:tcPr>
          <w:p w14:paraId="04D1A16D">
            <w:pPr>
              <w:widowControl/>
              <w:jc w:val="both"/>
              <w:rPr>
                <w:rFonts w:ascii="宋体" w:hAnsi="宋体"/>
                <w:kern w:val="0"/>
                <w:sz w:val="20"/>
                <w:szCs w:val="20"/>
              </w:rPr>
            </w:pPr>
            <w:r>
              <w:rPr>
                <w:rFonts w:ascii="宋体" w:hAnsi="宋体"/>
                <w:kern w:val="0"/>
                <w:sz w:val="20"/>
                <w:szCs w:val="20"/>
              </w:rPr>
              <w:t>社会公众或服务对象对项目实施效果的满意程度。</w:t>
            </w:r>
          </w:p>
        </w:tc>
        <w:tc>
          <w:tcPr>
            <w:tcW w:w="3529" w:type="dxa"/>
            <w:shd w:val="clear" w:color="000000" w:fill="FFFFFF"/>
            <w:noWrap w:val="0"/>
            <w:vAlign w:val="center"/>
          </w:tcPr>
          <w:p w14:paraId="52BA8FB6">
            <w:pPr>
              <w:widowControl/>
              <w:jc w:val="both"/>
              <w:rPr>
                <w:rFonts w:ascii="宋体" w:hAnsi="宋体"/>
                <w:kern w:val="0"/>
                <w:sz w:val="20"/>
                <w:szCs w:val="20"/>
              </w:rPr>
            </w:pPr>
            <w:r>
              <w:rPr>
                <w:rFonts w:ascii="宋体" w:hAnsi="宋体"/>
                <w:kern w:val="0"/>
                <w:sz w:val="20"/>
                <w:szCs w:val="20"/>
              </w:rPr>
              <w:t>社会公众或服务对象是指因该项目实施而受到影响的部门（单位）、群体或个人。一般采取社会调查的方式。（按收到的服务对象的满意率计算得分）</w:t>
            </w:r>
          </w:p>
        </w:tc>
        <w:tc>
          <w:tcPr>
            <w:tcW w:w="816" w:type="dxa"/>
            <w:noWrap w:val="0"/>
            <w:vAlign w:val="center"/>
          </w:tcPr>
          <w:p w14:paraId="7DFFD2CA">
            <w:pPr>
              <w:widowControl/>
              <w:jc w:val="left"/>
              <w:rPr>
                <w:rFonts w:ascii="宋体" w:hAnsi="宋体"/>
                <w:kern w:val="0"/>
                <w:sz w:val="24"/>
              </w:rPr>
            </w:pPr>
            <w:r>
              <w:rPr>
                <w:rFonts w:ascii="宋体" w:hAnsi="宋体"/>
                <w:kern w:val="0"/>
                <w:sz w:val="24"/>
              </w:rPr>
              <w:t>　</w:t>
            </w:r>
            <w:r>
              <w:rPr>
                <w:rFonts w:hint="eastAsia" w:ascii="宋体" w:hAnsi="宋体"/>
                <w:kern w:val="0"/>
                <w:sz w:val="24"/>
              </w:rPr>
              <w:t>10</w:t>
            </w:r>
          </w:p>
        </w:tc>
        <w:tc>
          <w:tcPr>
            <w:tcW w:w="882" w:type="dxa"/>
            <w:noWrap w:val="0"/>
            <w:vAlign w:val="center"/>
          </w:tcPr>
          <w:p w14:paraId="7C2355CB">
            <w:pPr>
              <w:widowControl/>
              <w:jc w:val="left"/>
              <w:rPr>
                <w:rFonts w:ascii="宋体" w:hAnsi="宋体"/>
                <w:kern w:val="0"/>
                <w:sz w:val="24"/>
              </w:rPr>
            </w:pPr>
            <w:r>
              <w:rPr>
                <w:rFonts w:ascii="宋体" w:hAnsi="宋体"/>
                <w:kern w:val="0"/>
                <w:sz w:val="24"/>
              </w:rPr>
              <w:t>　</w:t>
            </w:r>
          </w:p>
        </w:tc>
      </w:tr>
      <w:tr w14:paraId="3A0B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423" w:type="dxa"/>
            <w:gridSpan w:val="5"/>
            <w:shd w:val="clear" w:color="000000" w:fill="FFFFFF"/>
            <w:noWrap w:val="0"/>
            <w:vAlign w:val="center"/>
          </w:tcPr>
          <w:p w14:paraId="0FC56DA4">
            <w:pPr>
              <w:widowControl/>
              <w:jc w:val="both"/>
              <w:rPr>
                <w:rFonts w:ascii="宋体" w:hAnsi="宋体"/>
                <w:kern w:val="0"/>
                <w:sz w:val="20"/>
                <w:szCs w:val="20"/>
              </w:rPr>
            </w:pPr>
            <w:r>
              <w:rPr>
                <w:rFonts w:ascii="宋体" w:hAnsi="宋体"/>
                <w:kern w:val="0"/>
                <w:sz w:val="20"/>
                <w:szCs w:val="20"/>
              </w:rPr>
              <w:t>合计</w:t>
            </w:r>
          </w:p>
        </w:tc>
        <w:tc>
          <w:tcPr>
            <w:tcW w:w="816" w:type="dxa"/>
            <w:noWrap w:val="0"/>
            <w:vAlign w:val="center"/>
          </w:tcPr>
          <w:p w14:paraId="6F3C9AE8">
            <w:pPr>
              <w:widowControl/>
              <w:jc w:val="left"/>
              <w:rPr>
                <w:rFonts w:ascii="宋体" w:hAnsi="宋体"/>
                <w:kern w:val="0"/>
                <w:sz w:val="24"/>
              </w:rPr>
            </w:pPr>
            <w:r>
              <w:rPr>
                <w:rFonts w:ascii="宋体" w:hAnsi="宋体"/>
                <w:kern w:val="0"/>
                <w:sz w:val="24"/>
              </w:rPr>
              <w:t>　</w:t>
            </w:r>
            <w:r>
              <w:rPr>
                <w:rFonts w:hint="eastAsia" w:ascii="宋体" w:hAnsi="宋体"/>
                <w:kern w:val="0"/>
                <w:sz w:val="24"/>
              </w:rPr>
              <w:t>100</w:t>
            </w:r>
          </w:p>
        </w:tc>
        <w:tc>
          <w:tcPr>
            <w:tcW w:w="882" w:type="dxa"/>
            <w:noWrap w:val="0"/>
            <w:vAlign w:val="center"/>
          </w:tcPr>
          <w:p w14:paraId="130BD35F">
            <w:pPr>
              <w:widowControl/>
              <w:jc w:val="left"/>
              <w:rPr>
                <w:rFonts w:ascii="宋体" w:hAnsi="宋体"/>
                <w:kern w:val="0"/>
                <w:sz w:val="24"/>
              </w:rPr>
            </w:pPr>
            <w:r>
              <w:rPr>
                <w:rFonts w:ascii="宋体" w:hAnsi="宋体"/>
                <w:kern w:val="0"/>
                <w:sz w:val="24"/>
              </w:rPr>
              <w:t>　</w:t>
            </w:r>
          </w:p>
        </w:tc>
      </w:tr>
    </w:tbl>
    <w:p w14:paraId="48488834">
      <w:pPr>
        <w:spacing w:line="620" w:lineRule="exact"/>
        <w:jc w:val="left"/>
        <w:rPr>
          <w:rFonts w:ascii="宋体" w:hAnsi="宋体" w:eastAsia="方正黑体简体"/>
          <w:sz w:val="32"/>
          <w:szCs w:val="32"/>
        </w:rPr>
      </w:pPr>
    </w:p>
    <w:p w14:paraId="52945FDA">
      <w:pPr>
        <w:spacing w:line="620" w:lineRule="exact"/>
        <w:jc w:val="left"/>
        <w:rPr>
          <w:rFonts w:ascii="宋体" w:hAnsi="宋体" w:eastAsia="方正黑体简体"/>
          <w:sz w:val="32"/>
          <w:szCs w:val="32"/>
        </w:rPr>
      </w:pPr>
    </w:p>
    <w:p w14:paraId="34BA3D97">
      <w:pPr>
        <w:pStyle w:val="2"/>
        <w:rPr>
          <w:rFonts w:ascii="宋体" w:hAnsi="宋体" w:eastAsia="方正黑体简体"/>
          <w:sz w:val="32"/>
          <w:szCs w:val="32"/>
        </w:rPr>
      </w:pPr>
    </w:p>
    <w:p w14:paraId="5F4F9367">
      <w:pPr>
        <w:pStyle w:val="3"/>
        <w:rPr>
          <w:rFonts w:ascii="宋体" w:hAnsi="宋体" w:eastAsia="方正黑体简体"/>
          <w:sz w:val="32"/>
          <w:szCs w:val="32"/>
        </w:rPr>
      </w:pPr>
    </w:p>
    <w:p w14:paraId="4E177448"/>
    <w:p w14:paraId="1E8379EC">
      <w:pPr>
        <w:spacing w:line="620" w:lineRule="exact"/>
        <w:jc w:val="left"/>
        <w:rPr>
          <w:rFonts w:ascii="宋体" w:hAnsi="宋体" w:eastAsia="方正黑体简体"/>
          <w:sz w:val="32"/>
          <w:szCs w:val="32"/>
        </w:rPr>
      </w:pPr>
    </w:p>
    <w:p w14:paraId="28DA97F6">
      <w:pPr>
        <w:spacing w:line="620" w:lineRule="exact"/>
        <w:jc w:val="left"/>
        <w:rPr>
          <w:rFonts w:ascii="宋体" w:hAnsi="宋体" w:eastAsia="方正黑体简体"/>
          <w:sz w:val="32"/>
          <w:szCs w:val="32"/>
        </w:rPr>
      </w:pPr>
    </w:p>
    <w:p w14:paraId="5A5C1FD1">
      <w:pPr>
        <w:spacing w:line="620" w:lineRule="exact"/>
        <w:jc w:val="left"/>
        <w:rPr>
          <w:rFonts w:hint="eastAsia" w:ascii="宋体" w:hAnsi="宋体" w:eastAsia="方正黑体简体"/>
          <w:sz w:val="32"/>
          <w:szCs w:val="32"/>
        </w:rPr>
      </w:pPr>
      <w:r>
        <w:rPr>
          <w:rFonts w:ascii="宋体" w:hAnsi="宋体" w:eastAsia="方正黑体简体"/>
          <w:sz w:val="32"/>
          <w:szCs w:val="32"/>
        </w:rPr>
        <w:t>附件</w:t>
      </w:r>
      <w:r>
        <w:rPr>
          <w:rFonts w:hint="eastAsia" w:ascii="宋体" w:hAnsi="宋体" w:eastAsia="方正黑体简体"/>
          <w:sz w:val="32"/>
          <w:szCs w:val="32"/>
          <w:lang w:val="en-US" w:eastAsia="zh-CN"/>
        </w:rPr>
        <w:t>4-</w:t>
      </w:r>
      <w:r>
        <w:rPr>
          <w:rFonts w:hint="eastAsia" w:ascii="宋体" w:hAnsi="宋体" w:eastAsia="方正黑体简体"/>
          <w:sz w:val="32"/>
          <w:szCs w:val="32"/>
        </w:rPr>
        <w:t>2</w:t>
      </w:r>
    </w:p>
    <w:p w14:paraId="3394A32E">
      <w:pPr>
        <w:pStyle w:val="2"/>
        <w:rPr>
          <w:rFonts w:hint="eastAsia"/>
        </w:rPr>
      </w:pPr>
    </w:p>
    <w:p w14:paraId="5FD57162">
      <w:pPr>
        <w:spacing w:line="620" w:lineRule="exact"/>
        <w:jc w:val="center"/>
        <w:rPr>
          <w:rFonts w:ascii="宋体" w:hAnsi="宋体" w:eastAsia="方正小标宋简体"/>
          <w:color w:val="000000"/>
          <w:spacing w:val="-12"/>
          <w:kern w:val="0"/>
          <w:sz w:val="40"/>
          <w:szCs w:val="40"/>
        </w:rPr>
      </w:pPr>
      <w:r>
        <w:rPr>
          <w:rFonts w:ascii="宋体" w:hAnsi="宋体" w:eastAsia="方正小标宋简体"/>
          <w:color w:val="000000"/>
          <w:spacing w:val="-12"/>
          <w:kern w:val="0"/>
          <w:sz w:val="40"/>
          <w:szCs w:val="40"/>
        </w:rPr>
        <w:t>20</w:t>
      </w:r>
      <w:r>
        <w:rPr>
          <w:rFonts w:hint="eastAsia" w:ascii="宋体" w:hAnsi="宋体" w:eastAsia="方正小标宋简体"/>
          <w:color w:val="000000"/>
          <w:spacing w:val="-12"/>
          <w:kern w:val="0"/>
          <w:sz w:val="40"/>
          <w:szCs w:val="40"/>
        </w:rPr>
        <w:t>2</w:t>
      </w:r>
      <w:r>
        <w:rPr>
          <w:rFonts w:hint="eastAsia" w:ascii="宋体" w:hAnsi="宋体" w:eastAsia="方正小标宋简体"/>
          <w:color w:val="000000"/>
          <w:spacing w:val="-12"/>
          <w:kern w:val="0"/>
          <w:sz w:val="40"/>
          <w:szCs w:val="40"/>
          <w:lang w:val="en-US" w:eastAsia="zh-CN"/>
        </w:rPr>
        <w:t>3</w:t>
      </w:r>
      <w:r>
        <w:rPr>
          <w:rFonts w:ascii="宋体" w:hAnsi="宋体" w:eastAsia="方正小标宋简体"/>
          <w:color w:val="000000"/>
          <w:spacing w:val="-12"/>
          <w:kern w:val="0"/>
          <w:sz w:val="40"/>
          <w:szCs w:val="40"/>
        </w:rPr>
        <w:t>年度市本级项目支出绩效目标完成情况表</w:t>
      </w:r>
    </w:p>
    <w:p w14:paraId="0E9A2FF8">
      <w:pPr>
        <w:pStyle w:val="2"/>
        <w:rPr>
          <w:rFonts w:ascii="宋体" w:hAnsi="宋体"/>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47"/>
        <w:gridCol w:w="353"/>
        <w:gridCol w:w="1137"/>
        <w:gridCol w:w="849"/>
        <w:gridCol w:w="145"/>
        <w:gridCol w:w="1277"/>
        <w:gridCol w:w="1559"/>
        <w:gridCol w:w="1909"/>
      </w:tblGrid>
      <w:tr w14:paraId="65C9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noWrap w:val="0"/>
            <w:vAlign w:val="center"/>
          </w:tcPr>
          <w:p w14:paraId="6520E5F9">
            <w:pPr>
              <w:widowControl/>
              <w:jc w:val="center"/>
              <w:rPr>
                <w:rFonts w:ascii="宋体" w:hAnsi="宋体"/>
                <w:color w:val="000000"/>
                <w:kern w:val="0"/>
                <w:sz w:val="18"/>
                <w:szCs w:val="18"/>
              </w:rPr>
            </w:pPr>
            <w:r>
              <w:rPr>
                <w:rFonts w:ascii="宋体" w:hAnsi="宋体"/>
                <w:color w:val="000000"/>
                <w:kern w:val="0"/>
                <w:sz w:val="18"/>
                <w:szCs w:val="18"/>
              </w:rPr>
              <w:t>项目</w:t>
            </w:r>
          </w:p>
          <w:p w14:paraId="390AD160">
            <w:pPr>
              <w:widowControl/>
              <w:jc w:val="center"/>
              <w:rPr>
                <w:rFonts w:ascii="宋体" w:hAnsi="宋体"/>
                <w:color w:val="000000"/>
                <w:kern w:val="0"/>
                <w:sz w:val="18"/>
                <w:szCs w:val="18"/>
              </w:rPr>
            </w:pPr>
            <w:r>
              <w:rPr>
                <w:rFonts w:ascii="宋体" w:hAnsi="宋体"/>
                <w:color w:val="000000"/>
                <w:kern w:val="0"/>
                <w:sz w:val="18"/>
                <w:szCs w:val="18"/>
              </w:rPr>
              <w:t>名称</w:t>
            </w:r>
          </w:p>
        </w:tc>
        <w:tc>
          <w:tcPr>
            <w:tcW w:w="8076" w:type="dxa"/>
            <w:gridSpan w:val="8"/>
            <w:noWrap w:val="0"/>
            <w:vAlign w:val="center"/>
          </w:tcPr>
          <w:p w14:paraId="7C98FF1E">
            <w:pPr>
              <w:widowControl/>
              <w:jc w:val="center"/>
              <w:rPr>
                <w:rFonts w:ascii="宋体" w:hAnsi="宋体"/>
                <w:color w:val="000000"/>
                <w:kern w:val="0"/>
                <w:sz w:val="18"/>
                <w:szCs w:val="18"/>
              </w:rPr>
            </w:pPr>
            <w:r>
              <w:rPr>
                <w:rFonts w:hint="eastAsia" w:ascii="宋体" w:hAnsi="宋体"/>
                <w:color w:val="000000"/>
                <w:kern w:val="0"/>
                <w:sz w:val="18"/>
                <w:szCs w:val="18"/>
              </w:rPr>
              <w:t>扫黑除恶专项工作经费</w:t>
            </w:r>
          </w:p>
        </w:tc>
      </w:tr>
      <w:tr w14:paraId="4095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restart"/>
            <w:noWrap w:val="0"/>
            <w:vAlign w:val="center"/>
          </w:tcPr>
          <w:p w14:paraId="2971C174">
            <w:pPr>
              <w:widowControl/>
              <w:jc w:val="center"/>
              <w:rPr>
                <w:rFonts w:ascii="宋体" w:hAnsi="宋体"/>
                <w:color w:val="000000"/>
                <w:kern w:val="0"/>
                <w:sz w:val="18"/>
                <w:szCs w:val="18"/>
              </w:rPr>
            </w:pPr>
            <w:r>
              <w:rPr>
                <w:rFonts w:ascii="宋体" w:hAnsi="宋体"/>
                <w:color w:val="000000"/>
                <w:kern w:val="0"/>
                <w:sz w:val="18"/>
                <w:szCs w:val="18"/>
              </w:rPr>
              <w:t>项目</w:t>
            </w:r>
          </w:p>
          <w:p w14:paraId="2C7B4B46">
            <w:pPr>
              <w:widowControl/>
              <w:jc w:val="center"/>
              <w:rPr>
                <w:rFonts w:ascii="宋体" w:hAnsi="宋体"/>
                <w:color w:val="000000"/>
                <w:kern w:val="0"/>
                <w:sz w:val="18"/>
                <w:szCs w:val="18"/>
              </w:rPr>
            </w:pPr>
            <w:r>
              <w:rPr>
                <w:rFonts w:ascii="宋体" w:hAnsi="宋体"/>
                <w:color w:val="000000"/>
                <w:kern w:val="0"/>
                <w:sz w:val="18"/>
                <w:szCs w:val="18"/>
              </w:rPr>
              <w:t>类型</w:t>
            </w:r>
          </w:p>
        </w:tc>
        <w:tc>
          <w:tcPr>
            <w:tcW w:w="1200" w:type="dxa"/>
            <w:gridSpan w:val="2"/>
            <w:noWrap w:val="0"/>
            <w:vAlign w:val="center"/>
          </w:tcPr>
          <w:p w14:paraId="18884D11">
            <w:pPr>
              <w:widowControl/>
              <w:jc w:val="center"/>
              <w:rPr>
                <w:rFonts w:ascii="宋体" w:hAnsi="宋体"/>
                <w:color w:val="000000"/>
                <w:kern w:val="0"/>
                <w:sz w:val="18"/>
                <w:szCs w:val="18"/>
              </w:rPr>
            </w:pPr>
            <w:r>
              <w:rPr>
                <w:rFonts w:ascii="宋体" w:hAnsi="宋体"/>
                <w:color w:val="000000"/>
                <w:kern w:val="0"/>
                <w:sz w:val="18"/>
                <w:szCs w:val="18"/>
              </w:rPr>
              <w:t>产业发展</w:t>
            </w:r>
          </w:p>
        </w:tc>
        <w:tc>
          <w:tcPr>
            <w:tcW w:w="1137" w:type="dxa"/>
            <w:noWrap w:val="0"/>
            <w:vAlign w:val="center"/>
          </w:tcPr>
          <w:p w14:paraId="4F745656">
            <w:pPr>
              <w:widowControl/>
              <w:jc w:val="center"/>
              <w:rPr>
                <w:rFonts w:ascii="宋体" w:hAnsi="宋体"/>
                <w:color w:val="000000"/>
                <w:kern w:val="0"/>
                <w:sz w:val="18"/>
                <w:szCs w:val="18"/>
              </w:rPr>
            </w:pPr>
            <w:r>
              <w:rPr>
                <w:rFonts w:ascii="宋体" w:hAnsi="宋体"/>
                <w:color w:val="000000"/>
                <w:kern w:val="0"/>
                <w:sz w:val="18"/>
                <w:szCs w:val="18"/>
              </w:rPr>
              <w:t>民生</w:t>
            </w:r>
          </w:p>
          <w:p w14:paraId="0D869052">
            <w:pPr>
              <w:widowControl/>
              <w:jc w:val="center"/>
              <w:rPr>
                <w:rFonts w:ascii="宋体" w:hAnsi="宋体"/>
                <w:color w:val="000000"/>
                <w:kern w:val="0"/>
                <w:sz w:val="18"/>
                <w:szCs w:val="18"/>
              </w:rPr>
            </w:pPr>
            <w:r>
              <w:rPr>
                <w:rFonts w:ascii="宋体" w:hAnsi="宋体"/>
                <w:color w:val="000000"/>
                <w:kern w:val="0"/>
                <w:sz w:val="18"/>
                <w:szCs w:val="18"/>
              </w:rPr>
              <w:t>保障</w:t>
            </w:r>
          </w:p>
        </w:tc>
        <w:tc>
          <w:tcPr>
            <w:tcW w:w="2271" w:type="dxa"/>
            <w:gridSpan w:val="3"/>
            <w:noWrap w:val="0"/>
            <w:vAlign w:val="center"/>
          </w:tcPr>
          <w:p w14:paraId="4EB73D4A">
            <w:pPr>
              <w:widowControl/>
              <w:jc w:val="center"/>
              <w:rPr>
                <w:rFonts w:ascii="宋体" w:hAnsi="宋体"/>
                <w:color w:val="000000"/>
                <w:kern w:val="0"/>
                <w:sz w:val="18"/>
                <w:szCs w:val="18"/>
              </w:rPr>
            </w:pPr>
            <w:r>
              <w:rPr>
                <w:rFonts w:ascii="宋体" w:hAnsi="宋体"/>
                <w:color w:val="000000"/>
                <w:kern w:val="0"/>
                <w:sz w:val="18"/>
                <w:szCs w:val="18"/>
              </w:rPr>
              <w:t>基础设施</w:t>
            </w:r>
          </w:p>
        </w:tc>
        <w:tc>
          <w:tcPr>
            <w:tcW w:w="3468" w:type="dxa"/>
            <w:gridSpan w:val="2"/>
            <w:noWrap w:val="0"/>
            <w:vAlign w:val="center"/>
          </w:tcPr>
          <w:p w14:paraId="50F92D91">
            <w:pPr>
              <w:widowControl/>
              <w:jc w:val="center"/>
              <w:rPr>
                <w:rFonts w:ascii="宋体" w:hAnsi="宋体"/>
                <w:color w:val="000000"/>
                <w:kern w:val="0"/>
                <w:sz w:val="18"/>
                <w:szCs w:val="18"/>
              </w:rPr>
            </w:pPr>
            <w:r>
              <w:rPr>
                <w:rFonts w:ascii="宋体" w:hAnsi="宋体"/>
                <w:color w:val="000000"/>
                <w:kern w:val="0"/>
                <w:sz w:val="18"/>
                <w:szCs w:val="18"/>
              </w:rPr>
              <w:t>行政运行</w:t>
            </w:r>
          </w:p>
        </w:tc>
      </w:tr>
      <w:tr w14:paraId="0B1F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4" w:type="dxa"/>
            <w:vMerge w:val="continue"/>
            <w:noWrap w:val="0"/>
            <w:vAlign w:val="center"/>
          </w:tcPr>
          <w:p w14:paraId="6A33F0CC">
            <w:pPr>
              <w:widowControl/>
              <w:jc w:val="center"/>
              <w:rPr>
                <w:rFonts w:ascii="宋体" w:hAnsi="宋体"/>
                <w:color w:val="000000"/>
                <w:kern w:val="0"/>
                <w:sz w:val="18"/>
                <w:szCs w:val="18"/>
              </w:rPr>
            </w:pPr>
          </w:p>
        </w:tc>
        <w:tc>
          <w:tcPr>
            <w:tcW w:w="1200" w:type="dxa"/>
            <w:gridSpan w:val="2"/>
            <w:noWrap w:val="0"/>
            <w:vAlign w:val="center"/>
          </w:tcPr>
          <w:p w14:paraId="5F810C72">
            <w:pPr>
              <w:widowControl/>
              <w:jc w:val="center"/>
              <w:rPr>
                <w:rFonts w:ascii="宋体" w:hAnsi="宋体"/>
                <w:color w:val="000000"/>
                <w:kern w:val="0"/>
                <w:sz w:val="18"/>
                <w:szCs w:val="18"/>
              </w:rPr>
            </w:pPr>
            <w:r>
              <w:rPr>
                <w:rFonts w:hint="eastAsia" w:ascii="宋体" w:hAnsi="宋体"/>
                <w:color w:val="000000"/>
                <w:kern w:val="0"/>
                <w:sz w:val="18"/>
                <w:szCs w:val="18"/>
              </w:rPr>
              <w:t xml:space="preserve">  </w:t>
            </w:r>
          </w:p>
        </w:tc>
        <w:tc>
          <w:tcPr>
            <w:tcW w:w="1137" w:type="dxa"/>
            <w:noWrap w:val="0"/>
            <w:vAlign w:val="center"/>
          </w:tcPr>
          <w:p w14:paraId="2A56BFE7">
            <w:pPr>
              <w:jc w:val="center"/>
              <w:rPr>
                <w:rFonts w:ascii="宋体" w:hAnsi="宋体"/>
              </w:rPr>
            </w:pPr>
            <w:r>
              <w:rPr>
                <w:rFonts w:hint="eastAsia" w:ascii="宋体" w:hAnsi="宋体"/>
              </w:rPr>
              <w:t xml:space="preserve">  </w:t>
            </w:r>
          </w:p>
        </w:tc>
        <w:tc>
          <w:tcPr>
            <w:tcW w:w="2271" w:type="dxa"/>
            <w:gridSpan w:val="3"/>
            <w:noWrap w:val="0"/>
            <w:vAlign w:val="center"/>
          </w:tcPr>
          <w:p w14:paraId="415AA26F">
            <w:pPr>
              <w:jc w:val="center"/>
              <w:rPr>
                <w:rFonts w:ascii="宋体" w:hAnsi="宋体"/>
              </w:rPr>
            </w:pPr>
            <w:r>
              <w:rPr>
                <w:rFonts w:hint="eastAsia" w:ascii="宋体" w:hAnsi="宋体"/>
              </w:rPr>
              <w:t xml:space="preserve"> </w:t>
            </w:r>
          </w:p>
        </w:tc>
        <w:tc>
          <w:tcPr>
            <w:tcW w:w="3468" w:type="dxa"/>
            <w:gridSpan w:val="2"/>
            <w:noWrap w:val="0"/>
            <w:vAlign w:val="center"/>
          </w:tcPr>
          <w:p w14:paraId="6EEFD2F4">
            <w:pPr>
              <w:jc w:val="center"/>
              <w:rPr>
                <w:rFonts w:ascii="宋体" w:hAnsi="宋体"/>
              </w:rPr>
            </w:pPr>
            <w:r>
              <w:rPr>
                <w:rFonts w:hint="eastAsia" w:ascii="宋体" w:hAnsi="宋体"/>
              </w:rPr>
              <w:t xml:space="preserve">  </w:t>
            </w:r>
          </w:p>
        </w:tc>
      </w:tr>
      <w:tr w14:paraId="2F6E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noWrap w:val="0"/>
            <w:vAlign w:val="center"/>
          </w:tcPr>
          <w:p w14:paraId="1A7AC2BB">
            <w:pPr>
              <w:widowControl/>
              <w:jc w:val="center"/>
              <w:rPr>
                <w:rFonts w:ascii="宋体" w:hAnsi="宋体"/>
                <w:color w:val="000000"/>
                <w:kern w:val="0"/>
                <w:sz w:val="18"/>
                <w:szCs w:val="18"/>
              </w:rPr>
            </w:pPr>
            <w:r>
              <w:rPr>
                <w:rFonts w:ascii="宋体" w:hAnsi="宋体"/>
                <w:color w:val="000000"/>
                <w:kern w:val="0"/>
                <w:sz w:val="18"/>
                <w:szCs w:val="18"/>
              </w:rPr>
              <w:t>部门（单位）名称</w:t>
            </w:r>
          </w:p>
        </w:tc>
        <w:tc>
          <w:tcPr>
            <w:tcW w:w="4608" w:type="dxa"/>
            <w:gridSpan w:val="6"/>
            <w:noWrap w:val="0"/>
            <w:vAlign w:val="center"/>
          </w:tcPr>
          <w:p w14:paraId="2DD203EF">
            <w:pPr>
              <w:widowControl/>
              <w:spacing w:line="360" w:lineRule="exact"/>
              <w:jc w:val="center"/>
              <w:rPr>
                <w:rFonts w:ascii="宋体" w:hAnsi="宋体"/>
                <w:color w:val="000000"/>
                <w:kern w:val="0"/>
                <w:sz w:val="18"/>
                <w:szCs w:val="18"/>
              </w:rPr>
            </w:pPr>
            <w:r>
              <w:rPr>
                <w:rFonts w:hint="eastAsia" w:ascii="宋体" w:hAnsi="宋体" w:eastAsia="方正仿宋简体" w:cs="宋体"/>
                <w:color w:val="000000"/>
                <w:kern w:val="0"/>
                <w:sz w:val="24"/>
              </w:rPr>
              <w:t>中共资阳市委政法委员会</w:t>
            </w:r>
          </w:p>
        </w:tc>
        <w:tc>
          <w:tcPr>
            <w:tcW w:w="1559" w:type="dxa"/>
            <w:noWrap w:val="0"/>
            <w:vAlign w:val="center"/>
          </w:tcPr>
          <w:p w14:paraId="228F7BC1">
            <w:pPr>
              <w:widowControl/>
              <w:jc w:val="center"/>
              <w:rPr>
                <w:rFonts w:ascii="宋体" w:hAnsi="宋体"/>
                <w:color w:val="000000"/>
                <w:kern w:val="0"/>
                <w:sz w:val="18"/>
                <w:szCs w:val="18"/>
              </w:rPr>
            </w:pPr>
            <w:r>
              <w:rPr>
                <w:rFonts w:ascii="宋体" w:hAnsi="宋体"/>
                <w:color w:val="000000"/>
                <w:kern w:val="0"/>
                <w:sz w:val="18"/>
                <w:szCs w:val="18"/>
              </w:rPr>
              <w:t>预算单位编码</w:t>
            </w:r>
          </w:p>
        </w:tc>
        <w:tc>
          <w:tcPr>
            <w:tcW w:w="1909" w:type="dxa"/>
            <w:noWrap w:val="0"/>
            <w:vAlign w:val="center"/>
          </w:tcPr>
          <w:p w14:paraId="3EB7F230">
            <w:pPr>
              <w:widowControl/>
              <w:spacing w:line="360" w:lineRule="exact"/>
              <w:jc w:val="center"/>
              <w:rPr>
                <w:rFonts w:ascii="宋体" w:hAnsi="宋体" w:eastAsia="方正仿宋简体" w:cs="宋体"/>
                <w:color w:val="000000"/>
                <w:kern w:val="0"/>
                <w:sz w:val="24"/>
              </w:rPr>
            </w:pPr>
            <w:r>
              <w:rPr>
                <w:rFonts w:hint="eastAsia" w:ascii="宋体" w:hAnsi="宋体" w:eastAsia="方正仿宋简体" w:cs="宋体"/>
                <w:color w:val="000000"/>
                <w:kern w:val="0"/>
                <w:sz w:val="24"/>
              </w:rPr>
              <w:t>106001</w:t>
            </w:r>
          </w:p>
        </w:tc>
      </w:tr>
      <w:tr w14:paraId="2BAB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4" w:type="dxa"/>
            <w:vMerge w:val="restart"/>
            <w:noWrap w:val="0"/>
            <w:vAlign w:val="center"/>
          </w:tcPr>
          <w:p w14:paraId="279B05B2">
            <w:pPr>
              <w:widowControl/>
              <w:jc w:val="center"/>
              <w:rPr>
                <w:rFonts w:ascii="宋体" w:hAnsi="宋体"/>
                <w:color w:val="000000"/>
                <w:kern w:val="0"/>
                <w:sz w:val="18"/>
                <w:szCs w:val="18"/>
              </w:rPr>
            </w:pPr>
            <w:r>
              <w:rPr>
                <w:rFonts w:ascii="宋体" w:hAnsi="宋体"/>
                <w:color w:val="000000"/>
                <w:kern w:val="0"/>
                <w:sz w:val="18"/>
                <w:szCs w:val="18"/>
              </w:rPr>
              <w:t>预算执行情况</w:t>
            </w:r>
          </w:p>
        </w:tc>
        <w:tc>
          <w:tcPr>
            <w:tcW w:w="1200" w:type="dxa"/>
            <w:gridSpan w:val="2"/>
            <w:noWrap w:val="0"/>
            <w:vAlign w:val="center"/>
          </w:tcPr>
          <w:p w14:paraId="579F5502">
            <w:pPr>
              <w:widowControl/>
              <w:jc w:val="center"/>
              <w:rPr>
                <w:rFonts w:ascii="宋体" w:hAnsi="宋体"/>
                <w:color w:val="000000"/>
                <w:kern w:val="0"/>
                <w:sz w:val="18"/>
                <w:szCs w:val="18"/>
              </w:rPr>
            </w:pPr>
            <w:r>
              <w:rPr>
                <w:rFonts w:ascii="宋体" w:hAnsi="宋体"/>
                <w:color w:val="000000"/>
                <w:kern w:val="0"/>
                <w:sz w:val="18"/>
                <w:szCs w:val="18"/>
              </w:rPr>
              <w:t>项目</w:t>
            </w:r>
          </w:p>
        </w:tc>
        <w:tc>
          <w:tcPr>
            <w:tcW w:w="1137" w:type="dxa"/>
            <w:noWrap w:val="0"/>
            <w:vAlign w:val="center"/>
          </w:tcPr>
          <w:p w14:paraId="331A8A9F">
            <w:pPr>
              <w:widowControl/>
              <w:jc w:val="center"/>
              <w:rPr>
                <w:rFonts w:ascii="宋体" w:hAnsi="宋体"/>
                <w:color w:val="000000"/>
                <w:kern w:val="0"/>
                <w:sz w:val="18"/>
                <w:szCs w:val="18"/>
              </w:rPr>
            </w:pPr>
            <w:r>
              <w:rPr>
                <w:rFonts w:ascii="宋体" w:hAnsi="宋体"/>
                <w:color w:val="000000"/>
                <w:kern w:val="0"/>
                <w:sz w:val="18"/>
                <w:szCs w:val="18"/>
              </w:rPr>
              <w:t>预算额(百元)</w:t>
            </w:r>
          </w:p>
        </w:tc>
        <w:tc>
          <w:tcPr>
            <w:tcW w:w="994" w:type="dxa"/>
            <w:gridSpan w:val="2"/>
            <w:noWrap w:val="0"/>
            <w:vAlign w:val="center"/>
          </w:tcPr>
          <w:p w14:paraId="62C4939D">
            <w:pPr>
              <w:widowControl/>
              <w:jc w:val="center"/>
              <w:rPr>
                <w:rFonts w:ascii="宋体" w:hAnsi="宋体"/>
                <w:color w:val="000000"/>
                <w:kern w:val="0"/>
                <w:sz w:val="18"/>
                <w:szCs w:val="18"/>
              </w:rPr>
            </w:pPr>
            <w:r>
              <w:rPr>
                <w:rFonts w:ascii="宋体" w:hAnsi="宋体"/>
                <w:color w:val="000000"/>
                <w:kern w:val="0"/>
                <w:sz w:val="18"/>
                <w:szCs w:val="18"/>
              </w:rPr>
              <w:t>执行额(百元)</w:t>
            </w:r>
          </w:p>
        </w:tc>
        <w:tc>
          <w:tcPr>
            <w:tcW w:w="1277" w:type="dxa"/>
            <w:noWrap w:val="0"/>
            <w:vAlign w:val="center"/>
          </w:tcPr>
          <w:p w14:paraId="36A2A51F">
            <w:pPr>
              <w:widowControl/>
              <w:jc w:val="center"/>
              <w:rPr>
                <w:rFonts w:ascii="宋体" w:hAnsi="宋体"/>
                <w:color w:val="000000"/>
                <w:kern w:val="0"/>
                <w:sz w:val="18"/>
                <w:szCs w:val="18"/>
              </w:rPr>
            </w:pPr>
            <w:r>
              <w:rPr>
                <w:rFonts w:ascii="宋体" w:hAnsi="宋体"/>
                <w:color w:val="000000"/>
                <w:kern w:val="0"/>
                <w:sz w:val="18"/>
                <w:szCs w:val="18"/>
              </w:rPr>
              <w:t>当年结转结余额(百元)</w:t>
            </w:r>
          </w:p>
        </w:tc>
        <w:tc>
          <w:tcPr>
            <w:tcW w:w="1559" w:type="dxa"/>
            <w:noWrap w:val="0"/>
            <w:vAlign w:val="center"/>
          </w:tcPr>
          <w:p w14:paraId="7C303B9B">
            <w:pPr>
              <w:widowControl/>
              <w:jc w:val="center"/>
              <w:rPr>
                <w:rFonts w:ascii="宋体" w:hAnsi="宋体"/>
                <w:color w:val="000000"/>
                <w:kern w:val="0"/>
                <w:sz w:val="18"/>
                <w:szCs w:val="18"/>
              </w:rPr>
            </w:pPr>
            <w:r>
              <w:rPr>
                <w:rFonts w:ascii="宋体" w:hAnsi="宋体"/>
                <w:color w:val="000000"/>
                <w:kern w:val="0"/>
                <w:sz w:val="18"/>
                <w:szCs w:val="18"/>
              </w:rPr>
              <w:t>结转结余率%</w:t>
            </w:r>
          </w:p>
        </w:tc>
        <w:tc>
          <w:tcPr>
            <w:tcW w:w="1909" w:type="dxa"/>
            <w:noWrap w:val="0"/>
            <w:vAlign w:val="center"/>
          </w:tcPr>
          <w:p w14:paraId="5AA808CE">
            <w:pPr>
              <w:widowControl/>
              <w:jc w:val="center"/>
              <w:rPr>
                <w:rFonts w:ascii="宋体" w:hAnsi="宋体"/>
                <w:color w:val="000000"/>
                <w:kern w:val="0"/>
                <w:sz w:val="18"/>
                <w:szCs w:val="18"/>
              </w:rPr>
            </w:pPr>
            <w:r>
              <w:rPr>
                <w:rFonts w:ascii="宋体" w:hAnsi="宋体"/>
                <w:color w:val="000000"/>
                <w:kern w:val="0"/>
                <w:sz w:val="18"/>
                <w:szCs w:val="18"/>
              </w:rPr>
              <w:t>结转结余变动率%</w:t>
            </w:r>
          </w:p>
        </w:tc>
      </w:tr>
      <w:tr w14:paraId="4678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1D454EA4">
            <w:pPr>
              <w:widowControl/>
              <w:jc w:val="left"/>
              <w:rPr>
                <w:rFonts w:ascii="宋体" w:hAnsi="宋体"/>
                <w:color w:val="000000"/>
                <w:kern w:val="0"/>
                <w:sz w:val="18"/>
                <w:szCs w:val="18"/>
              </w:rPr>
            </w:pPr>
          </w:p>
        </w:tc>
        <w:tc>
          <w:tcPr>
            <w:tcW w:w="1200" w:type="dxa"/>
            <w:gridSpan w:val="2"/>
            <w:noWrap w:val="0"/>
            <w:vAlign w:val="center"/>
          </w:tcPr>
          <w:p w14:paraId="2F526815">
            <w:pPr>
              <w:widowControl/>
              <w:jc w:val="center"/>
              <w:rPr>
                <w:rFonts w:ascii="宋体" w:hAnsi="宋体"/>
                <w:color w:val="000000"/>
                <w:kern w:val="0"/>
                <w:sz w:val="18"/>
                <w:szCs w:val="18"/>
              </w:rPr>
            </w:pPr>
            <w:r>
              <w:rPr>
                <w:rFonts w:ascii="宋体" w:hAnsi="宋体"/>
                <w:color w:val="000000"/>
                <w:kern w:val="0"/>
                <w:sz w:val="18"/>
                <w:szCs w:val="18"/>
              </w:rPr>
              <w:t>合   计</w:t>
            </w:r>
          </w:p>
        </w:tc>
        <w:tc>
          <w:tcPr>
            <w:tcW w:w="1137" w:type="dxa"/>
            <w:noWrap w:val="0"/>
            <w:vAlign w:val="center"/>
          </w:tcPr>
          <w:p w14:paraId="2385203A">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1800</w:t>
            </w:r>
          </w:p>
        </w:tc>
        <w:tc>
          <w:tcPr>
            <w:tcW w:w="994" w:type="dxa"/>
            <w:gridSpan w:val="2"/>
            <w:noWrap w:val="0"/>
            <w:vAlign w:val="center"/>
          </w:tcPr>
          <w:p w14:paraId="470A4047">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1800</w:t>
            </w:r>
          </w:p>
        </w:tc>
        <w:tc>
          <w:tcPr>
            <w:tcW w:w="1277" w:type="dxa"/>
            <w:noWrap w:val="0"/>
            <w:vAlign w:val="center"/>
          </w:tcPr>
          <w:p w14:paraId="768D4FC6">
            <w:pPr>
              <w:widowControl/>
              <w:jc w:val="left"/>
              <w:rPr>
                <w:rFonts w:ascii="宋体" w:hAnsi="宋体"/>
                <w:color w:val="000000"/>
                <w:kern w:val="0"/>
                <w:sz w:val="18"/>
                <w:szCs w:val="18"/>
              </w:rPr>
            </w:pPr>
            <w:r>
              <w:rPr>
                <w:rFonts w:hint="eastAsia" w:ascii="宋体" w:hAnsi="宋体"/>
                <w:color w:val="000000"/>
                <w:kern w:val="0"/>
                <w:sz w:val="18"/>
                <w:szCs w:val="18"/>
              </w:rPr>
              <w:t xml:space="preserve">  </w:t>
            </w:r>
          </w:p>
        </w:tc>
        <w:tc>
          <w:tcPr>
            <w:tcW w:w="1559" w:type="dxa"/>
            <w:noWrap w:val="0"/>
            <w:vAlign w:val="center"/>
          </w:tcPr>
          <w:p w14:paraId="38B941B9">
            <w:pPr>
              <w:widowControl/>
              <w:jc w:val="left"/>
              <w:rPr>
                <w:rFonts w:ascii="宋体" w:hAnsi="宋体"/>
                <w:color w:val="000000"/>
                <w:kern w:val="0"/>
                <w:sz w:val="18"/>
                <w:szCs w:val="18"/>
              </w:rPr>
            </w:pPr>
            <w:r>
              <w:rPr>
                <w:rFonts w:hint="eastAsia" w:ascii="宋体" w:hAnsi="宋体"/>
                <w:color w:val="000000"/>
                <w:kern w:val="0"/>
                <w:sz w:val="18"/>
                <w:szCs w:val="18"/>
              </w:rPr>
              <w:t xml:space="preserve">  </w:t>
            </w:r>
          </w:p>
        </w:tc>
        <w:tc>
          <w:tcPr>
            <w:tcW w:w="1909" w:type="dxa"/>
            <w:noWrap w:val="0"/>
            <w:vAlign w:val="center"/>
          </w:tcPr>
          <w:p w14:paraId="35AE4E27">
            <w:pPr>
              <w:widowControl/>
              <w:jc w:val="left"/>
              <w:rPr>
                <w:rFonts w:ascii="宋体" w:hAnsi="宋体"/>
                <w:color w:val="000000"/>
                <w:kern w:val="0"/>
                <w:sz w:val="18"/>
                <w:szCs w:val="18"/>
              </w:rPr>
            </w:pPr>
            <w:r>
              <w:rPr>
                <w:rFonts w:hint="eastAsia" w:ascii="宋体" w:hAnsi="宋体"/>
                <w:color w:val="000000"/>
                <w:kern w:val="0"/>
                <w:sz w:val="18"/>
                <w:szCs w:val="18"/>
              </w:rPr>
              <w:t xml:space="preserve">  </w:t>
            </w:r>
          </w:p>
        </w:tc>
      </w:tr>
      <w:tr w14:paraId="4CF5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6A539F39">
            <w:pPr>
              <w:widowControl/>
              <w:jc w:val="left"/>
              <w:rPr>
                <w:rFonts w:ascii="宋体" w:hAnsi="宋体"/>
                <w:color w:val="000000"/>
                <w:kern w:val="0"/>
                <w:sz w:val="18"/>
                <w:szCs w:val="18"/>
              </w:rPr>
            </w:pPr>
          </w:p>
        </w:tc>
        <w:tc>
          <w:tcPr>
            <w:tcW w:w="1200" w:type="dxa"/>
            <w:gridSpan w:val="2"/>
            <w:noWrap w:val="0"/>
            <w:vAlign w:val="center"/>
          </w:tcPr>
          <w:p w14:paraId="40E78597">
            <w:pPr>
              <w:widowControl/>
              <w:jc w:val="center"/>
              <w:rPr>
                <w:rFonts w:ascii="宋体" w:hAnsi="宋体"/>
                <w:color w:val="000000"/>
                <w:kern w:val="0"/>
                <w:sz w:val="18"/>
                <w:szCs w:val="18"/>
              </w:rPr>
            </w:pPr>
            <w:r>
              <w:rPr>
                <w:rFonts w:ascii="宋体" w:hAnsi="宋体"/>
                <w:color w:val="000000"/>
                <w:kern w:val="0"/>
                <w:sz w:val="18"/>
                <w:szCs w:val="18"/>
              </w:rPr>
              <w:t>财政拨款</w:t>
            </w:r>
          </w:p>
        </w:tc>
        <w:tc>
          <w:tcPr>
            <w:tcW w:w="1137" w:type="dxa"/>
            <w:noWrap w:val="0"/>
            <w:vAlign w:val="center"/>
          </w:tcPr>
          <w:p w14:paraId="756C2C8C">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1800</w:t>
            </w:r>
          </w:p>
        </w:tc>
        <w:tc>
          <w:tcPr>
            <w:tcW w:w="994" w:type="dxa"/>
            <w:gridSpan w:val="2"/>
            <w:noWrap w:val="0"/>
            <w:vAlign w:val="center"/>
          </w:tcPr>
          <w:p w14:paraId="14F172CC">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1800</w:t>
            </w:r>
          </w:p>
        </w:tc>
        <w:tc>
          <w:tcPr>
            <w:tcW w:w="1277" w:type="dxa"/>
            <w:noWrap w:val="0"/>
            <w:vAlign w:val="center"/>
          </w:tcPr>
          <w:p w14:paraId="05BCE033">
            <w:pPr>
              <w:widowControl/>
              <w:jc w:val="left"/>
              <w:rPr>
                <w:rFonts w:ascii="宋体" w:hAnsi="宋体"/>
                <w:color w:val="000000"/>
                <w:kern w:val="0"/>
                <w:sz w:val="18"/>
                <w:szCs w:val="18"/>
              </w:rPr>
            </w:pPr>
            <w:r>
              <w:rPr>
                <w:rFonts w:hint="eastAsia" w:ascii="宋体" w:hAnsi="宋体"/>
                <w:color w:val="000000"/>
                <w:kern w:val="0"/>
                <w:sz w:val="18"/>
                <w:szCs w:val="18"/>
              </w:rPr>
              <w:t xml:space="preserve">  </w:t>
            </w:r>
          </w:p>
        </w:tc>
        <w:tc>
          <w:tcPr>
            <w:tcW w:w="1559" w:type="dxa"/>
            <w:noWrap w:val="0"/>
            <w:vAlign w:val="center"/>
          </w:tcPr>
          <w:p w14:paraId="192561B4">
            <w:pPr>
              <w:widowControl/>
              <w:jc w:val="left"/>
              <w:rPr>
                <w:rFonts w:ascii="宋体" w:hAnsi="宋体"/>
                <w:color w:val="000000"/>
                <w:kern w:val="0"/>
                <w:sz w:val="18"/>
                <w:szCs w:val="18"/>
              </w:rPr>
            </w:pPr>
            <w:r>
              <w:rPr>
                <w:rFonts w:hint="eastAsia" w:ascii="宋体" w:hAnsi="宋体"/>
                <w:color w:val="000000"/>
                <w:kern w:val="0"/>
                <w:sz w:val="18"/>
                <w:szCs w:val="18"/>
              </w:rPr>
              <w:t xml:space="preserve">  </w:t>
            </w:r>
          </w:p>
        </w:tc>
        <w:tc>
          <w:tcPr>
            <w:tcW w:w="1909" w:type="dxa"/>
            <w:noWrap w:val="0"/>
            <w:vAlign w:val="center"/>
          </w:tcPr>
          <w:p w14:paraId="042E6978">
            <w:pPr>
              <w:widowControl/>
              <w:jc w:val="left"/>
              <w:rPr>
                <w:rFonts w:ascii="宋体" w:hAnsi="宋体"/>
                <w:color w:val="000000"/>
                <w:kern w:val="0"/>
                <w:sz w:val="18"/>
                <w:szCs w:val="18"/>
              </w:rPr>
            </w:pPr>
            <w:r>
              <w:rPr>
                <w:rFonts w:hint="eastAsia" w:ascii="宋体" w:hAnsi="宋体"/>
                <w:color w:val="000000"/>
                <w:kern w:val="0"/>
                <w:sz w:val="18"/>
                <w:szCs w:val="18"/>
              </w:rPr>
              <w:t xml:space="preserve">  </w:t>
            </w:r>
          </w:p>
        </w:tc>
      </w:tr>
      <w:tr w14:paraId="66DC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94" w:type="dxa"/>
            <w:vMerge w:val="continue"/>
            <w:noWrap w:val="0"/>
            <w:vAlign w:val="center"/>
          </w:tcPr>
          <w:p w14:paraId="4CDEDB3F">
            <w:pPr>
              <w:widowControl/>
              <w:jc w:val="left"/>
              <w:rPr>
                <w:rFonts w:ascii="宋体" w:hAnsi="宋体"/>
                <w:color w:val="000000"/>
                <w:kern w:val="0"/>
                <w:sz w:val="18"/>
                <w:szCs w:val="18"/>
              </w:rPr>
            </w:pPr>
          </w:p>
        </w:tc>
        <w:tc>
          <w:tcPr>
            <w:tcW w:w="1200" w:type="dxa"/>
            <w:gridSpan w:val="2"/>
            <w:noWrap w:val="0"/>
            <w:vAlign w:val="center"/>
          </w:tcPr>
          <w:p w14:paraId="0F9AF8A9">
            <w:pPr>
              <w:widowControl/>
              <w:jc w:val="center"/>
              <w:rPr>
                <w:rFonts w:ascii="宋体" w:hAnsi="宋体"/>
                <w:color w:val="000000"/>
                <w:kern w:val="0"/>
                <w:sz w:val="18"/>
                <w:szCs w:val="18"/>
              </w:rPr>
            </w:pPr>
            <w:r>
              <w:rPr>
                <w:rFonts w:ascii="宋体" w:hAnsi="宋体"/>
                <w:color w:val="000000"/>
                <w:kern w:val="0"/>
                <w:sz w:val="18"/>
                <w:szCs w:val="18"/>
              </w:rPr>
              <w:t>其他资金</w:t>
            </w:r>
          </w:p>
        </w:tc>
        <w:tc>
          <w:tcPr>
            <w:tcW w:w="1137" w:type="dxa"/>
            <w:noWrap w:val="0"/>
            <w:vAlign w:val="center"/>
          </w:tcPr>
          <w:p w14:paraId="0729CAB5">
            <w:pPr>
              <w:widowControl/>
              <w:ind w:firstLine="180" w:firstLineChars="100"/>
              <w:jc w:val="left"/>
              <w:rPr>
                <w:rFonts w:ascii="宋体" w:hAnsi="宋体"/>
                <w:color w:val="000000"/>
                <w:kern w:val="0"/>
                <w:sz w:val="18"/>
                <w:szCs w:val="18"/>
                <w:highlight w:val="yellow"/>
              </w:rPr>
            </w:pPr>
            <w:r>
              <w:rPr>
                <w:rFonts w:hint="eastAsia" w:ascii="宋体" w:hAnsi="宋体"/>
                <w:color w:val="000000"/>
                <w:kern w:val="0"/>
                <w:sz w:val="18"/>
                <w:szCs w:val="18"/>
              </w:rPr>
              <w:t xml:space="preserve">  0</w:t>
            </w:r>
          </w:p>
        </w:tc>
        <w:tc>
          <w:tcPr>
            <w:tcW w:w="994" w:type="dxa"/>
            <w:gridSpan w:val="2"/>
            <w:noWrap w:val="0"/>
            <w:vAlign w:val="center"/>
          </w:tcPr>
          <w:p w14:paraId="3D6DF56F">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1277" w:type="dxa"/>
            <w:noWrap w:val="0"/>
            <w:vAlign w:val="center"/>
          </w:tcPr>
          <w:p w14:paraId="29DE15E6">
            <w:pPr>
              <w:widowControl/>
              <w:jc w:val="left"/>
              <w:rPr>
                <w:rFonts w:ascii="宋体" w:hAnsi="宋体"/>
                <w:color w:val="000000"/>
                <w:kern w:val="0"/>
                <w:sz w:val="18"/>
                <w:szCs w:val="18"/>
              </w:rPr>
            </w:pPr>
            <w:r>
              <w:rPr>
                <w:rFonts w:hint="eastAsia" w:ascii="宋体" w:hAnsi="宋体"/>
                <w:color w:val="000000"/>
                <w:kern w:val="0"/>
                <w:sz w:val="18"/>
                <w:szCs w:val="18"/>
              </w:rPr>
              <w:t xml:space="preserve">  </w:t>
            </w:r>
          </w:p>
        </w:tc>
        <w:tc>
          <w:tcPr>
            <w:tcW w:w="1559" w:type="dxa"/>
            <w:noWrap w:val="0"/>
            <w:vAlign w:val="center"/>
          </w:tcPr>
          <w:p w14:paraId="7A52BFC6">
            <w:pPr>
              <w:widowControl/>
              <w:jc w:val="left"/>
              <w:rPr>
                <w:rFonts w:ascii="宋体" w:hAnsi="宋体"/>
                <w:color w:val="000000"/>
                <w:kern w:val="0"/>
                <w:sz w:val="18"/>
                <w:szCs w:val="18"/>
              </w:rPr>
            </w:pPr>
            <w:r>
              <w:rPr>
                <w:rFonts w:hint="eastAsia" w:ascii="宋体" w:hAnsi="宋体"/>
                <w:color w:val="000000"/>
                <w:kern w:val="0"/>
                <w:sz w:val="18"/>
                <w:szCs w:val="18"/>
              </w:rPr>
              <w:t xml:space="preserve">  </w:t>
            </w:r>
          </w:p>
        </w:tc>
        <w:tc>
          <w:tcPr>
            <w:tcW w:w="1909" w:type="dxa"/>
            <w:noWrap w:val="0"/>
            <w:vAlign w:val="center"/>
          </w:tcPr>
          <w:p w14:paraId="672ADC10">
            <w:pPr>
              <w:widowControl/>
              <w:jc w:val="left"/>
              <w:rPr>
                <w:rFonts w:ascii="宋体" w:hAnsi="宋体"/>
                <w:color w:val="000000"/>
                <w:kern w:val="0"/>
                <w:sz w:val="18"/>
                <w:szCs w:val="18"/>
              </w:rPr>
            </w:pPr>
            <w:r>
              <w:rPr>
                <w:rFonts w:hint="eastAsia" w:ascii="宋体" w:hAnsi="宋体"/>
                <w:color w:val="000000"/>
                <w:kern w:val="0"/>
                <w:sz w:val="18"/>
                <w:szCs w:val="18"/>
              </w:rPr>
              <w:t xml:space="preserve">  </w:t>
            </w:r>
          </w:p>
        </w:tc>
      </w:tr>
      <w:tr w14:paraId="6551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4" w:type="dxa"/>
            <w:vMerge w:val="restart"/>
            <w:noWrap w:val="0"/>
            <w:vAlign w:val="center"/>
          </w:tcPr>
          <w:p w14:paraId="1223C125">
            <w:pPr>
              <w:widowControl/>
              <w:jc w:val="center"/>
              <w:rPr>
                <w:rFonts w:ascii="宋体" w:hAnsi="宋体"/>
                <w:color w:val="000000"/>
                <w:kern w:val="0"/>
                <w:sz w:val="18"/>
                <w:szCs w:val="18"/>
              </w:rPr>
            </w:pPr>
            <w:r>
              <w:rPr>
                <w:rFonts w:ascii="宋体" w:hAnsi="宋体"/>
                <w:color w:val="000000"/>
                <w:kern w:val="0"/>
                <w:sz w:val="18"/>
                <w:szCs w:val="18"/>
              </w:rPr>
              <w:t>财政拨款结构</w:t>
            </w:r>
          </w:p>
        </w:tc>
        <w:tc>
          <w:tcPr>
            <w:tcW w:w="1200" w:type="dxa"/>
            <w:gridSpan w:val="2"/>
            <w:noWrap w:val="0"/>
            <w:vAlign w:val="center"/>
          </w:tcPr>
          <w:p w14:paraId="683E694F">
            <w:pPr>
              <w:widowControl/>
              <w:jc w:val="center"/>
              <w:rPr>
                <w:rFonts w:ascii="宋体" w:hAnsi="宋体"/>
                <w:color w:val="000000"/>
                <w:kern w:val="0"/>
                <w:sz w:val="18"/>
                <w:szCs w:val="18"/>
              </w:rPr>
            </w:pPr>
            <w:r>
              <w:rPr>
                <w:rFonts w:ascii="宋体" w:hAnsi="宋体"/>
                <w:color w:val="000000"/>
                <w:kern w:val="0"/>
                <w:sz w:val="18"/>
                <w:szCs w:val="18"/>
              </w:rPr>
              <w:t>项目</w:t>
            </w:r>
          </w:p>
        </w:tc>
        <w:tc>
          <w:tcPr>
            <w:tcW w:w="1137" w:type="dxa"/>
            <w:noWrap w:val="0"/>
            <w:vAlign w:val="center"/>
          </w:tcPr>
          <w:p w14:paraId="21D01EAE">
            <w:pPr>
              <w:widowControl/>
              <w:jc w:val="center"/>
              <w:rPr>
                <w:rFonts w:ascii="宋体" w:hAnsi="宋体"/>
                <w:color w:val="000000"/>
                <w:kern w:val="0"/>
                <w:sz w:val="18"/>
                <w:szCs w:val="18"/>
              </w:rPr>
            </w:pPr>
            <w:r>
              <w:rPr>
                <w:rFonts w:ascii="宋体" w:hAnsi="宋体"/>
                <w:color w:val="000000"/>
                <w:kern w:val="0"/>
                <w:sz w:val="18"/>
                <w:szCs w:val="18"/>
              </w:rPr>
              <w:t>合计</w:t>
            </w:r>
          </w:p>
        </w:tc>
        <w:tc>
          <w:tcPr>
            <w:tcW w:w="994" w:type="dxa"/>
            <w:gridSpan w:val="2"/>
            <w:noWrap w:val="0"/>
            <w:vAlign w:val="center"/>
          </w:tcPr>
          <w:p w14:paraId="166F0F78">
            <w:pPr>
              <w:widowControl/>
              <w:jc w:val="center"/>
              <w:rPr>
                <w:rFonts w:ascii="宋体" w:hAnsi="宋体"/>
                <w:color w:val="000000"/>
                <w:kern w:val="0"/>
                <w:sz w:val="18"/>
                <w:szCs w:val="18"/>
              </w:rPr>
            </w:pPr>
            <w:r>
              <w:rPr>
                <w:rFonts w:ascii="宋体" w:hAnsi="宋体"/>
                <w:color w:val="000000"/>
                <w:kern w:val="0"/>
                <w:sz w:val="18"/>
                <w:szCs w:val="18"/>
              </w:rPr>
              <w:t>一般公共预算安排</w:t>
            </w:r>
          </w:p>
        </w:tc>
        <w:tc>
          <w:tcPr>
            <w:tcW w:w="1277" w:type="dxa"/>
            <w:noWrap w:val="0"/>
            <w:vAlign w:val="center"/>
          </w:tcPr>
          <w:p w14:paraId="4267F8BF">
            <w:pPr>
              <w:widowControl/>
              <w:jc w:val="center"/>
              <w:rPr>
                <w:rFonts w:ascii="宋体" w:hAnsi="宋体"/>
                <w:color w:val="000000"/>
                <w:kern w:val="0"/>
                <w:sz w:val="18"/>
                <w:szCs w:val="18"/>
              </w:rPr>
            </w:pPr>
            <w:r>
              <w:rPr>
                <w:rFonts w:ascii="宋体" w:hAnsi="宋体"/>
                <w:color w:val="000000"/>
                <w:kern w:val="0"/>
                <w:sz w:val="18"/>
                <w:szCs w:val="18"/>
              </w:rPr>
              <w:t>政府性基金预算安排</w:t>
            </w:r>
          </w:p>
        </w:tc>
        <w:tc>
          <w:tcPr>
            <w:tcW w:w="1559" w:type="dxa"/>
            <w:noWrap w:val="0"/>
            <w:vAlign w:val="center"/>
          </w:tcPr>
          <w:p w14:paraId="172AC380">
            <w:pPr>
              <w:widowControl/>
              <w:jc w:val="center"/>
              <w:rPr>
                <w:rFonts w:ascii="宋体" w:hAnsi="宋体"/>
                <w:color w:val="000000"/>
                <w:kern w:val="0"/>
                <w:sz w:val="18"/>
                <w:szCs w:val="18"/>
              </w:rPr>
            </w:pPr>
            <w:r>
              <w:rPr>
                <w:rFonts w:ascii="宋体" w:hAnsi="宋体"/>
                <w:color w:val="000000"/>
                <w:kern w:val="0"/>
                <w:sz w:val="18"/>
                <w:szCs w:val="18"/>
              </w:rPr>
              <w:t>国有资本经营预算安排</w:t>
            </w:r>
          </w:p>
        </w:tc>
        <w:tc>
          <w:tcPr>
            <w:tcW w:w="1909" w:type="dxa"/>
            <w:noWrap w:val="0"/>
            <w:vAlign w:val="center"/>
          </w:tcPr>
          <w:p w14:paraId="46EC8589">
            <w:pPr>
              <w:widowControl/>
              <w:jc w:val="center"/>
              <w:rPr>
                <w:rFonts w:ascii="宋体" w:hAnsi="宋体"/>
                <w:color w:val="000000"/>
                <w:kern w:val="0"/>
                <w:sz w:val="18"/>
                <w:szCs w:val="18"/>
              </w:rPr>
            </w:pPr>
            <w:r>
              <w:rPr>
                <w:rFonts w:ascii="宋体" w:hAnsi="宋体"/>
                <w:color w:val="000000"/>
                <w:kern w:val="0"/>
                <w:sz w:val="18"/>
                <w:szCs w:val="18"/>
              </w:rPr>
              <w:t>社保基金预算安排</w:t>
            </w:r>
          </w:p>
        </w:tc>
      </w:tr>
      <w:tr w14:paraId="42EC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94" w:type="dxa"/>
            <w:vMerge w:val="continue"/>
            <w:noWrap w:val="0"/>
            <w:vAlign w:val="center"/>
          </w:tcPr>
          <w:p w14:paraId="4B338CA8">
            <w:pPr>
              <w:widowControl/>
              <w:jc w:val="left"/>
              <w:rPr>
                <w:rFonts w:ascii="宋体" w:hAnsi="宋体"/>
                <w:color w:val="000000"/>
                <w:kern w:val="0"/>
                <w:sz w:val="18"/>
                <w:szCs w:val="18"/>
              </w:rPr>
            </w:pPr>
          </w:p>
        </w:tc>
        <w:tc>
          <w:tcPr>
            <w:tcW w:w="1200" w:type="dxa"/>
            <w:gridSpan w:val="2"/>
            <w:noWrap w:val="0"/>
            <w:vAlign w:val="center"/>
          </w:tcPr>
          <w:p w14:paraId="1503DA62">
            <w:pPr>
              <w:widowControl/>
              <w:jc w:val="center"/>
              <w:rPr>
                <w:rFonts w:ascii="宋体" w:hAnsi="宋体"/>
                <w:color w:val="000000"/>
                <w:kern w:val="0"/>
                <w:sz w:val="18"/>
                <w:szCs w:val="18"/>
              </w:rPr>
            </w:pPr>
            <w:r>
              <w:rPr>
                <w:rFonts w:ascii="宋体" w:hAnsi="宋体"/>
                <w:color w:val="000000"/>
                <w:kern w:val="0"/>
                <w:sz w:val="18"/>
                <w:szCs w:val="18"/>
              </w:rPr>
              <w:t>预算额</w:t>
            </w:r>
          </w:p>
          <w:p w14:paraId="2DB20617">
            <w:pPr>
              <w:widowControl/>
              <w:jc w:val="center"/>
              <w:rPr>
                <w:rFonts w:ascii="宋体" w:hAnsi="宋体"/>
                <w:color w:val="000000"/>
                <w:kern w:val="0"/>
                <w:sz w:val="18"/>
                <w:szCs w:val="18"/>
              </w:rPr>
            </w:pPr>
            <w:r>
              <w:rPr>
                <w:rFonts w:ascii="宋体" w:hAnsi="宋体"/>
                <w:color w:val="000000"/>
                <w:kern w:val="0"/>
                <w:sz w:val="18"/>
                <w:szCs w:val="18"/>
              </w:rPr>
              <w:t>(百元)</w:t>
            </w:r>
          </w:p>
        </w:tc>
        <w:tc>
          <w:tcPr>
            <w:tcW w:w="1137" w:type="dxa"/>
            <w:noWrap w:val="0"/>
            <w:vAlign w:val="center"/>
          </w:tcPr>
          <w:p w14:paraId="1A0CF70F">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1800</w:t>
            </w:r>
          </w:p>
        </w:tc>
        <w:tc>
          <w:tcPr>
            <w:tcW w:w="994" w:type="dxa"/>
            <w:gridSpan w:val="2"/>
            <w:noWrap w:val="0"/>
            <w:vAlign w:val="center"/>
          </w:tcPr>
          <w:p w14:paraId="1B782D0B">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1800</w:t>
            </w:r>
          </w:p>
        </w:tc>
        <w:tc>
          <w:tcPr>
            <w:tcW w:w="1277" w:type="dxa"/>
            <w:noWrap w:val="0"/>
            <w:vAlign w:val="center"/>
          </w:tcPr>
          <w:p w14:paraId="06F3A509">
            <w:pPr>
              <w:widowControl/>
              <w:rPr>
                <w:rFonts w:ascii="宋体" w:hAnsi="宋体"/>
                <w:color w:val="000000"/>
                <w:kern w:val="0"/>
                <w:sz w:val="18"/>
                <w:szCs w:val="18"/>
              </w:rPr>
            </w:pPr>
            <w:r>
              <w:rPr>
                <w:rFonts w:hint="eastAsia" w:ascii="宋体" w:hAnsi="宋体"/>
                <w:color w:val="000000"/>
                <w:kern w:val="0"/>
                <w:sz w:val="18"/>
                <w:szCs w:val="18"/>
              </w:rPr>
              <w:t xml:space="preserve">  0</w:t>
            </w:r>
          </w:p>
        </w:tc>
        <w:tc>
          <w:tcPr>
            <w:tcW w:w="1559" w:type="dxa"/>
            <w:noWrap w:val="0"/>
            <w:vAlign w:val="center"/>
          </w:tcPr>
          <w:p w14:paraId="71B8A236">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1909" w:type="dxa"/>
            <w:noWrap w:val="0"/>
            <w:vAlign w:val="center"/>
          </w:tcPr>
          <w:p w14:paraId="0BCCBA93">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r>
      <w:tr w14:paraId="7D1F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94" w:type="dxa"/>
            <w:vMerge w:val="continue"/>
            <w:noWrap w:val="0"/>
            <w:vAlign w:val="center"/>
          </w:tcPr>
          <w:p w14:paraId="300A1268">
            <w:pPr>
              <w:widowControl/>
              <w:jc w:val="left"/>
              <w:rPr>
                <w:rFonts w:ascii="宋体" w:hAnsi="宋体"/>
                <w:color w:val="000000"/>
                <w:kern w:val="0"/>
                <w:sz w:val="18"/>
                <w:szCs w:val="18"/>
              </w:rPr>
            </w:pPr>
          </w:p>
        </w:tc>
        <w:tc>
          <w:tcPr>
            <w:tcW w:w="1200" w:type="dxa"/>
            <w:gridSpan w:val="2"/>
            <w:noWrap w:val="0"/>
            <w:vAlign w:val="center"/>
          </w:tcPr>
          <w:p w14:paraId="1671DE46">
            <w:pPr>
              <w:widowControl/>
              <w:jc w:val="center"/>
              <w:rPr>
                <w:rFonts w:ascii="宋体" w:hAnsi="宋体"/>
                <w:color w:val="000000"/>
                <w:kern w:val="0"/>
                <w:sz w:val="18"/>
                <w:szCs w:val="18"/>
              </w:rPr>
            </w:pPr>
            <w:r>
              <w:rPr>
                <w:rFonts w:ascii="宋体" w:hAnsi="宋体"/>
                <w:color w:val="000000"/>
                <w:kern w:val="0"/>
                <w:sz w:val="18"/>
                <w:szCs w:val="18"/>
              </w:rPr>
              <w:t>执行额</w:t>
            </w:r>
          </w:p>
          <w:p w14:paraId="42CCCDB3">
            <w:pPr>
              <w:widowControl/>
              <w:jc w:val="center"/>
              <w:rPr>
                <w:rFonts w:ascii="宋体" w:hAnsi="宋体"/>
                <w:color w:val="000000"/>
                <w:kern w:val="0"/>
                <w:sz w:val="18"/>
                <w:szCs w:val="18"/>
              </w:rPr>
            </w:pPr>
            <w:r>
              <w:rPr>
                <w:rFonts w:ascii="宋体" w:hAnsi="宋体"/>
                <w:color w:val="000000"/>
                <w:kern w:val="0"/>
                <w:sz w:val="18"/>
                <w:szCs w:val="18"/>
              </w:rPr>
              <w:t>(百元)</w:t>
            </w:r>
          </w:p>
        </w:tc>
        <w:tc>
          <w:tcPr>
            <w:tcW w:w="1137" w:type="dxa"/>
            <w:noWrap w:val="0"/>
            <w:vAlign w:val="center"/>
          </w:tcPr>
          <w:p w14:paraId="1E410ADF">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1800</w:t>
            </w:r>
          </w:p>
        </w:tc>
        <w:tc>
          <w:tcPr>
            <w:tcW w:w="994" w:type="dxa"/>
            <w:gridSpan w:val="2"/>
            <w:noWrap w:val="0"/>
            <w:vAlign w:val="center"/>
          </w:tcPr>
          <w:p w14:paraId="2CEC1D9A">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1800</w:t>
            </w:r>
          </w:p>
        </w:tc>
        <w:tc>
          <w:tcPr>
            <w:tcW w:w="1277" w:type="dxa"/>
            <w:noWrap w:val="0"/>
            <w:vAlign w:val="center"/>
          </w:tcPr>
          <w:p w14:paraId="6F4CAF45">
            <w:pPr>
              <w:widowControl/>
              <w:rPr>
                <w:rFonts w:ascii="宋体" w:hAnsi="宋体"/>
                <w:color w:val="000000"/>
                <w:kern w:val="0"/>
                <w:sz w:val="18"/>
                <w:szCs w:val="18"/>
              </w:rPr>
            </w:pPr>
            <w:r>
              <w:rPr>
                <w:rFonts w:hint="eastAsia" w:ascii="宋体" w:hAnsi="宋体"/>
                <w:color w:val="000000"/>
                <w:kern w:val="0"/>
                <w:sz w:val="18"/>
                <w:szCs w:val="18"/>
              </w:rPr>
              <w:t xml:space="preserve">  0</w:t>
            </w:r>
          </w:p>
        </w:tc>
        <w:tc>
          <w:tcPr>
            <w:tcW w:w="1559" w:type="dxa"/>
            <w:noWrap w:val="0"/>
            <w:vAlign w:val="center"/>
          </w:tcPr>
          <w:p w14:paraId="5E6D7C36">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1909" w:type="dxa"/>
            <w:noWrap w:val="0"/>
            <w:vAlign w:val="center"/>
          </w:tcPr>
          <w:p w14:paraId="3A003449">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r>
      <w:tr w14:paraId="2457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94" w:type="dxa"/>
            <w:vMerge w:val="continue"/>
            <w:noWrap w:val="0"/>
            <w:vAlign w:val="center"/>
          </w:tcPr>
          <w:p w14:paraId="682B4C39">
            <w:pPr>
              <w:widowControl/>
              <w:jc w:val="left"/>
              <w:rPr>
                <w:rFonts w:ascii="宋体" w:hAnsi="宋体"/>
                <w:color w:val="000000"/>
                <w:kern w:val="0"/>
                <w:sz w:val="18"/>
                <w:szCs w:val="18"/>
              </w:rPr>
            </w:pPr>
          </w:p>
        </w:tc>
        <w:tc>
          <w:tcPr>
            <w:tcW w:w="1200" w:type="dxa"/>
            <w:gridSpan w:val="2"/>
            <w:noWrap w:val="0"/>
            <w:vAlign w:val="center"/>
          </w:tcPr>
          <w:p w14:paraId="4D884694">
            <w:pPr>
              <w:widowControl/>
              <w:jc w:val="center"/>
              <w:rPr>
                <w:rFonts w:ascii="宋体" w:hAnsi="宋体"/>
                <w:color w:val="000000"/>
                <w:kern w:val="0"/>
                <w:sz w:val="18"/>
                <w:szCs w:val="18"/>
              </w:rPr>
            </w:pPr>
            <w:r>
              <w:rPr>
                <w:rFonts w:ascii="宋体" w:hAnsi="宋体"/>
                <w:color w:val="000000"/>
                <w:kern w:val="0"/>
                <w:sz w:val="18"/>
                <w:szCs w:val="18"/>
              </w:rPr>
              <w:t>当年结转结余额(百元)</w:t>
            </w:r>
          </w:p>
        </w:tc>
        <w:tc>
          <w:tcPr>
            <w:tcW w:w="1137" w:type="dxa"/>
            <w:noWrap w:val="0"/>
            <w:vAlign w:val="center"/>
          </w:tcPr>
          <w:p w14:paraId="11411C54">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994" w:type="dxa"/>
            <w:gridSpan w:val="2"/>
            <w:noWrap w:val="0"/>
            <w:vAlign w:val="center"/>
          </w:tcPr>
          <w:p w14:paraId="55949C58">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1277" w:type="dxa"/>
            <w:noWrap w:val="0"/>
            <w:vAlign w:val="center"/>
          </w:tcPr>
          <w:p w14:paraId="5DAFAE57">
            <w:pPr>
              <w:widowControl/>
              <w:rPr>
                <w:rFonts w:ascii="宋体" w:hAnsi="宋体"/>
                <w:color w:val="000000"/>
                <w:kern w:val="0"/>
                <w:sz w:val="18"/>
                <w:szCs w:val="18"/>
              </w:rPr>
            </w:pPr>
            <w:r>
              <w:rPr>
                <w:rFonts w:hint="eastAsia" w:ascii="宋体" w:hAnsi="宋体"/>
                <w:color w:val="000000"/>
                <w:kern w:val="0"/>
                <w:sz w:val="18"/>
                <w:szCs w:val="18"/>
              </w:rPr>
              <w:t xml:space="preserve">  0</w:t>
            </w:r>
          </w:p>
        </w:tc>
        <w:tc>
          <w:tcPr>
            <w:tcW w:w="1559" w:type="dxa"/>
            <w:noWrap w:val="0"/>
            <w:vAlign w:val="center"/>
          </w:tcPr>
          <w:p w14:paraId="40D68F79">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1909" w:type="dxa"/>
            <w:noWrap w:val="0"/>
            <w:vAlign w:val="center"/>
          </w:tcPr>
          <w:p w14:paraId="1E08A509">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r>
      <w:tr w14:paraId="460D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94" w:type="dxa"/>
            <w:vMerge w:val="continue"/>
            <w:noWrap w:val="0"/>
            <w:vAlign w:val="center"/>
          </w:tcPr>
          <w:p w14:paraId="6CA8C57C">
            <w:pPr>
              <w:widowControl/>
              <w:jc w:val="left"/>
              <w:rPr>
                <w:rFonts w:ascii="宋体" w:hAnsi="宋体"/>
                <w:color w:val="000000"/>
                <w:kern w:val="0"/>
                <w:sz w:val="18"/>
                <w:szCs w:val="18"/>
              </w:rPr>
            </w:pPr>
          </w:p>
        </w:tc>
        <w:tc>
          <w:tcPr>
            <w:tcW w:w="1200" w:type="dxa"/>
            <w:gridSpan w:val="2"/>
            <w:noWrap w:val="0"/>
            <w:vAlign w:val="center"/>
          </w:tcPr>
          <w:p w14:paraId="3DDBE8E7">
            <w:pPr>
              <w:widowControl/>
              <w:jc w:val="center"/>
              <w:rPr>
                <w:rFonts w:ascii="宋体" w:hAnsi="宋体"/>
                <w:color w:val="000000"/>
                <w:kern w:val="0"/>
                <w:sz w:val="18"/>
                <w:szCs w:val="18"/>
              </w:rPr>
            </w:pPr>
            <w:r>
              <w:rPr>
                <w:rFonts w:ascii="宋体" w:hAnsi="宋体"/>
                <w:color w:val="000000"/>
                <w:kern w:val="0"/>
                <w:sz w:val="18"/>
                <w:szCs w:val="18"/>
              </w:rPr>
              <w:t>结转结余率%</w:t>
            </w:r>
          </w:p>
        </w:tc>
        <w:tc>
          <w:tcPr>
            <w:tcW w:w="1137" w:type="dxa"/>
            <w:noWrap w:val="0"/>
            <w:vAlign w:val="center"/>
          </w:tcPr>
          <w:p w14:paraId="23E25B7D">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994" w:type="dxa"/>
            <w:gridSpan w:val="2"/>
            <w:noWrap w:val="0"/>
            <w:vAlign w:val="center"/>
          </w:tcPr>
          <w:p w14:paraId="6BA8FF5D">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1277" w:type="dxa"/>
            <w:noWrap w:val="0"/>
            <w:vAlign w:val="center"/>
          </w:tcPr>
          <w:p w14:paraId="0C2390E8">
            <w:pPr>
              <w:widowControl/>
              <w:rPr>
                <w:rFonts w:ascii="宋体" w:hAnsi="宋体"/>
                <w:color w:val="000000"/>
                <w:kern w:val="0"/>
                <w:sz w:val="18"/>
                <w:szCs w:val="18"/>
              </w:rPr>
            </w:pPr>
            <w:r>
              <w:rPr>
                <w:rFonts w:hint="eastAsia" w:ascii="宋体" w:hAnsi="宋体"/>
                <w:color w:val="000000"/>
                <w:kern w:val="0"/>
                <w:sz w:val="18"/>
                <w:szCs w:val="18"/>
              </w:rPr>
              <w:t xml:space="preserve">  0</w:t>
            </w:r>
          </w:p>
        </w:tc>
        <w:tc>
          <w:tcPr>
            <w:tcW w:w="1559" w:type="dxa"/>
            <w:noWrap w:val="0"/>
            <w:vAlign w:val="center"/>
          </w:tcPr>
          <w:p w14:paraId="77A376B0">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1909" w:type="dxa"/>
            <w:noWrap w:val="0"/>
            <w:vAlign w:val="center"/>
          </w:tcPr>
          <w:p w14:paraId="39D399D5">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r>
      <w:tr w14:paraId="33F7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94" w:type="dxa"/>
            <w:vMerge w:val="continue"/>
            <w:noWrap w:val="0"/>
            <w:vAlign w:val="center"/>
          </w:tcPr>
          <w:p w14:paraId="16186D20">
            <w:pPr>
              <w:widowControl/>
              <w:jc w:val="left"/>
              <w:rPr>
                <w:rFonts w:ascii="宋体" w:hAnsi="宋体"/>
                <w:color w:val="000000"/>
                <w:kern w:val="0"/>
                <w:sz w:val="18"/>
                <w:szCs w:val="18"/>
              </w:rPr>
            </w:pPr>
          </w:p>
        </w:tc>
        <w:tc>
          <w:tcPr>
            <w:tcW w:w="1200" w:type="dxa"/>
            <w:gridSpan w:val="2"/>
            <w:noWrap w:val="0"/>
            <w:vAlign w:val="center"/>
          </w:tcPr>
          <w:p w14:paraId="7E68529A">
            <w:pPr>
              <w:widowControl/>
              <w:jc w:val="center"/>
              <w:rPr>
                <w:rFonts w:ascii="宋体" w:hAnsi="宋体"/>
                <w:color w:val="000000"/>
                <w:kern w:val="0"/>
                <w:sz w:val="18"/>
                <w:szCs w:val="18"/>
              </w:rPr>
            </w:pPr>
            <w:r>
              <w:rPr>
                <w:rFonts w:ascii="宋体" w:hAnsi="宋体"/>
                <w:color w:val="000000"/>
                <w:kern w:val="0"/>
                <w:sz w:val="18"/>
                <w:szCs w:val="18"/>
              </w:rPr>
              <w:t>结转结余变动率%</w:t>
            </w:r>
          </w:p>
        </w:tc>
        <w:tc>
          <w:tcPr>
            <w:tcW w:w="1137" w:type="dxa"/>
            <w:noWrap w:val="0"/>
            <w:vAlign w:val="center"/>
          </w:tcPr>
          <w:p w14:paraId="0E96C162">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994" w:type="dxa"/>
            <w:gridSpan w:val="2"/>
            <w:noWrap w:val="0"/>
            <w:vAlign w:val="center"/>
          </w:tcPr>
          <w:p w14:paraId="1160F8BA">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1277" w:type="dxa"/>
            <w:noWrap w:val="0"/>
            <w:vAlign w:val="center"/>
          </w:tcPr>
          <w:p w14:paraId="7A72BF66">
            <w:pPr>
              <w:widowControl/>
              <w:rPr>
                <w:rFonts w:ascii="宋体" w:hAnsi="宋体"/>
                <w:color w:val="000000"/>
                <w:kern w:val="0"/>
                <w:sz w:val="18"/>
                <w:szCs w:val="18"/>
              </w:rPr>
            </w:pPr>
            <w:r>
              <w:rPr>
                <w:rFonts w:hint="eastAsia" w:ascii="宋体" w:hAnsi="宋体"/>
                <w:color w:val="000000"/>
                <w:kern w:val="0"/>
                <w:sz w:val="18"/>
                <w:szCs w:val="18"/>
              </w:rPr>
              <w:t xml:space="preserve">  0</w:t>
            </w:r>
          </w:p>
        </w:tc>
        <w:tc>
          <w:tcPr>
            <w:tcW w:w="1559" w:type="dxa"/>
            <w:noWrap w:val="0"/>
            <w:vAlign w:val="center"/>
          </w:tcPr>
          <w:p w14:paraId="579D7707">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c>
          <w:tcPr>
            <w:tcW w:w="1909" w:type="dxa"/>
            <w:noWrap w:val="0"/>
            <w:vAlign w:val="center"/>
          </w:tcPr>
          <w:p w14:paraId="48678F1D">
            <w:pPr>
              <w:widowControl/>
              <w:jc w:val="left"/>
              <w:rPr>
                <w:rFonts w:ascii="宋体" w:hAnsi="宋体"/>
                <w:color w:val="000000"/>
                <w:kern w:val="0"/>
                <w:sz w:val="18"/>
                <w:szCs w:val="18"/>
              </w:rPr>
            </w:pPr>
            <w:r>
              <w:rPr>
                <w:rFonts w:hint="eastAsia" w:ascii="宋体" w:hAnsi="宋体"/>
                <w:color w:val="000000"/>
                <w:kern w:val="0"/>
                <w:sz w:val="18"/>
                <w:szCs w:val="18"/>
              </w:rPr>
              <w:t xml:space="preserve">  0</w:t>
            </w:r>
          </w:p>
        </w:tc>
      </w:tr>
      <w:tr w14:paraId="0718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94" w:type="dxa"/>
            <w:vMerge w:val="restart"/>
            <w:noWrap w:val="0"/>
            <w:vAlign w:val="center"/>
          </w:tcPr>
          <w:p w14:paraId="0352F4CD">
            <w:pPr>
              <w:widowControl/>
              <w:jc w:val="center"/>
              <w:rPr>
                <w:rFonts w:ascii="宋体" w:hAnsi="宋体"/>
                <w:color w:val="000000"/>
                <w:kern w:val="0"/>
                <w:sz w:val="18"/>
                <w:szCs w:val="18"/>
              </w:rPr>
            </w:pPr>
            <w:r>
              <w:rPr>
                <w:rFonts w:ascii="宋体" w:hAnsi="宋体"/>
                <w:color w:val="000000"/>
                <w:kern w:val="0"/>
                <w:sz w:val="18"/>
                <w:szCs w:val="18"/>
              </w:rPr>
              <w:t>年度总体目标</w:t>
            </w:r>
          </w:p>
        </w:tc>
        <w:tc>
          <w:tcPr>
            <w:tcW w:w="2337" w:type="dxa"/>
            <w:gridSpan w:val="3"/>
            <w:noWrap w:val="0"/>
            <w:vAlign w:val="center"/>
          </w:tcPr>
          <w:p w14:paraId="7AB50AFA">
            <w:pPr>
              <w:widowControl/>
              <w:jc w:val="center"/>
              <w:rPr>
                <w:rFonts w:ascii="宋体" w:hAnsi="宋体"/>
                <w:color w:val="000000"/>
                <w:kern w:val="0"/>
                <w:sz w:val="18"/>
                <w:szCs w:val="18"/>
              </w:rPr>
            </w:pPr>
            <w:r>
              <w:rPr>
                <w:rFonts w:ascii="宋体" w:hAnsi="宋体"/>
                <w:color w:val="000000"/>
                <w:kern w:val="0"/>
                <w:sz w:val="18"/>
                <w:szCs w:val="18"/>
              </w:rPr>
              <w:t>预算总体目标</w:t>
            </w:r>
          </w:p>
        </w:tc>
        <w:tc>
          <w:tcPr>
            <w:tcW w:w="2271" w:type="dxa"/>
            <w:gridSpan w:val="3"/>
            <w:noWrap w:val="0"/>
            <w:vAlign w:val="center"/>
          </w:tcPr>
          <w:p w14:paraId="7E01B519">
            <w:pPr>
              <w:widowControl/>
              <w:jc w:val="center"/>
              <w:rPr>
                <w:rFonts w:ascii="宋体" w:hAnsi="宋体"/>
                <w:color w:val="000000"/>
                <w:kern w:val="0"/>
                <w:sz w:val="18"/>
                <w:szCs w:val="18"/>
              </w:rPr>
            </w:pPr>
            <w:r>
              <w:rPr>
                <w:rFonts w:ascii="宋体" w:hAnsi="宋体"/>
                <w:color w:val="000000"/>
                <w:kern w:val="0"/>
                <w:sz w:val="18"/>
                <w:szCs w:val="18"/>
              </w:rPr>
              <w:t>预算总体目标执行结果</w:t>
            </w:r>
          </w:p>
        </w:tc>
        <w:tc>
          <w:tcPr>
            <w:tcW w:w="3468" w:type="dxa"/>
            <w:gridSpan w:val="2"/>
            <w:noWrap w:val="0"/>
            <w:vAlign w:val="center"/>
          </w:tcPr>
          <w:p w14:paraId="4A8E4D96">
            <w:pPr>
              <w:widowControl/>
              <w:jc w:val="center"/>
              <w:rPr>
                <w:rFonts w:ascii="宋体" w:hAnsi="宋体"/>
                <w:color w:val="000000"/>
                <w:kern w:val="0"/>
                <w:sz w:val="18"/>
                <w:szCs w:val="18"/>
              </w:rPr>
            </w:pPr>
            <w:r>
              <w:rPr>
                <w:rFonts w:ascii="宋体" w:hAnsi="宋体"/>
                <w:color w:val="000000"/>
                <w:kern w:val="0"/>
                <w:sz w:val="18"/>
                <w:szCs w:val="18"/>
              </w:rPr>
              <w:t>预算总体目标与预算总体目标执行结果偏差情况及原因分析</w:t>
            </w:r>
          </w:p>
        </w:tc>
      </w:tr>
      <w:tr w14:paraId="7962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6043DCF2">
            <w:pPr>
              <w:widowControl/>
              <w:jc w:val="left"/>
              <w:rPr>
                <w:rFonts w:ascii="宋体" w:hAnsi="宋体"/>
                <w:color w:val="000000"/>
                <w:kern w:val="0"/>
                <w:sz w:val="18"/>
                <w:szCs w:val="18"/>
              </w:rPr>
            </w:pPr>
          </w:p>
        </w:tc>
        <w:tc>
          <w:tcPr>
            <w:tcW w:w="2337" w:type="dxa"/>
            <w:gridSpan w:val="3"/>
            <w:noWrap w:val="0"/>
            <w:vAlign w:val="center"/>
          </w:tcPr>
          <w:p w14:paraId="79E7A37A">
            <w:pPr>
              <w:spacing w:line="320" w:lineRule="exact"/>
              <w:rPr>
                <w:rFonts w:ascii="宋体" w:hAnsi="宋体"/>
                <w:color w:val="000000"/>
                <w:kern w:val="0"/>
                <w:sz w:val="18"/>
                <w:szCs w:val="18"/>
              </w:rPr>
            </w:pPr>
            <w:r>
              <w:rPr>
                <w:rFonts w:ascii="宋体" w:hAnsi="宋体"/>
                <w:color w:val="000000"/>
                <w:kern w:val="0"/>
                <w:sz w:val="18"/>
                <w:szCs w:val="18"/>
              </w:rPr>
              <w:t>目标1:</w:t>
            </w:r>
            <w:r>
              <w:rPr>
                <w:rFonts w:hint="eastAsia" w:ascii="宋体" w:hAnsi="宋体" w:eastAsia="宋体" w:cs="Times New Roman"/>
                <w:color w:val="000000"/>
                <w:kern w:val="0"/>
                <w:sz w:val="18"/>
                <w:szCs w:val="18"/>
              </w:rPr>
              <w:t>紧密配合市扫黑除恶专线斗争领导小组工作，研究部署全市扫黑除恶常态化斗争工作开展，</w:t>
            </w:r>
            <w:r>
              <w:rPr>
                <w:rFonts w:hint="eastAsia" w:ascii="宋体" w:hAnsi="宋体" w:eastAsia="宋体" w:cs="Times New Roman"/>
                <w:color w:val="000000"/>
                <w:kern w:val="0"/>
                <w:sz w:val="18"/>
                <w:szCs w:val="18"/>
                <w:lang w:eastAsia="zh-CN"/>
              </w:rPr>
              <w:t>推动扫黑除恶重点工作，</w:t>
            </w:r>
            <w:r>
              <w:rPr>
                <w:rFonts w:hint="eastAsia" w:ascii="宋体" w:hAnsi="宋体" w:eastAsia="宋体" w:cs="Times New Roman"/>
                <w:color w:val="000000"/>
                <w:kern w:val="0"/>
                <w:sz w:val="18"/>
                <w:szCs w:val="18"/>
              </w:rPr>
              <w:t>每季度不少于1次</w:t>
            </w:r>
            <w:r>
              <w:rPr>
                <w:rFonts w:hint="eastAsia" w:ascii="宋体" w:hAnsi="宋体" w:eastAsia="宋体" w:cs="Times New Roman"/>
                <w:color w:val="000000"/>
                <w:kern w:val="0"/>
                <w:sz w:val="18"/>
                <w:szCs w:val="18"/>
                <w:lang w:eastAsia="zh-CN"/>
              </w:rPr>
              <w:t>。</w:t>
            </w:r>
          </w:p>
        </w:tc>
        <w:tc>
          <w:tcPr>
            <w:tcW w:w="2271" w:type="dxa"/>
            <w:gridSpan w:val="3"/>
            <w:noWrap w:val="0"/>
            <w:vAlign w:val="center"/>
          </w:tcPr>
          <w:p w14:paraId="5BB02422">
            <w:pPr>
              <w:widowControl/>
              <w:jc w:val="center"/>
              <w:rPr>
                <w:rFonts w:ascii="宋体" w:hAnsi="宋体"/>
                <w:color w:val="000000"/>
                <w:kern w:val="0"/>
                <w:sz w:val="18"/>
                <w:szCs w:val="18"/>
              </w:rPr>
            </w:pPr>
            <w:r>
              <w:rPr>
                <w:rFonts w:hint="eastAsia" w:ascii="宋体" w:hAnsi="宋体"/>
                <w:color w:val="000000"/>
                <w:kern w:val="0"/>
                <w:sz w:val="18"/>
                <w:szCs w:val="18"/>
              </w:rPr>
              <w:t>完成</w:t>
            </w:r>
          </w:p>
        </w:tc>
        <w:tc>
          <w:tcPr>
            <w:tcW w:w="3468" w:type="dxa"/>
            <w:gridSpan w:val="2"/>
            <w:noWrap w:val="0"/>
            <w:vAlign w:val="center"/>
          </w:tcPr>
          <w:p w14:paraId="4F3DD9FF">
            <w:pPr>
              <w:widowControl/>
              <w:jc w:val="center"/>
              <w:rPr>
                <w:rFonts w:ascii="宋体" w:hAnsi="宋体"/>
                <w:color w:val="000000"/>
                <w:kern w:val="0"/>
                <w:sz w:val="18"/>
                <w:szCs w:val="18"/>
              </w:rPr>
            </w:pPr>
            <w:r>
              <w:rPr>
                <w:rFonts w:hint="eastAsia" w:ascii="宋体" w:hAnsi="宋体"/>
                <w:color w:val="000000"/>
                <w:kern w:val="0"/>
                <w:sz w:val="18"/>
                <w:szCs w:val="18"/>
              </w:rPr>
              <w:t>无偏差</w:t>
            </w:r>
          </w:p>
        </w:tc>
      </w:tr>
      <w:tr w14:paraId="3514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3722ED25">
            <w:pPr>
              <w:widowControl/>
              <w:jc w:val="left"/>
              <w:rPr>
                <w:rFonts w:ascii="宋体" w:hAnsi="宋体"/>
                <w:color w:val="000000"/>
                <w:kern w:val="0"/>
                <w:sz w:val="18"/>
                <w:szCs w:val="18"/>
              </w:rPr>
            </w:pPr>
          </w:p>
        </w:tc>
        <w:tc>
          <w:tcPr>
            <w:tcW w:w="2337" w:type="dxa"/>
            <w:gridSpan w:val="3"/>
            <w:noWrap w:val="0"/>
            <w:vAlign w:val="center"/>
          </w:tcPr>
          <w:p w14:paraId="09BA96F8">
            <w:pPr>
              <w:spacing w:line="320" w:lineRule="exac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目标</w:t>
            </w:r>
            <w:r>
              <w:rPr>
                <w:rFonts w:hint="eastAsia" w:ascii="宋体" w:hAnsi="宋体"/>
                <w:color w:val="000000"/>
                <w:kern w:val="0"/>
                <w:sz w:val="18"/>
                <w:szCs w:val="18"/>
                <w:lang w:val="en-US" w:eastAsia="zh-CN"/>
              </w:rPr>
              <w:t>2：</w:t>
            </w:r>
            <w:r>
              <w:rPr>
                <w:rFonts w:hint="eastAsia" w:ascii="宋体" w:hAnsi="宋体" w:eastAsia="宋体" w:cs="Times New Roman"/>
                <w:color w:val="000000"/>
                <w:kern w:val="0"/>
                <w:sz w:val="18"/>
                <w:szCs w:val="18"/>
                <w:lang w:eastAsia="zh-CN"/>
              </w:rPr>
              <w:t>统筹全市面上扫黑除恶宣传，开展横到底、纵到边宣传，营造社会面扫黑除恶浓厚氛围。</w:t>
            </w:r>
          </w:p>
        </w:tc>
        <w:tc>
          <w:tcPr>
            <w:tcW w:w="2271" w:type="dxa"/>
            <w:gridSpan w:val="3"/>
            <w:noWrap w:val="0"/>
            <w:vAlign w:val="center"/>
          </w:tcPr>
          <w:p w14:paraId="60F40C65">
            <w:pPr>
              <w:widowControl/>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完成</w:t>
            </w:r>
          </w:p>
        </w:tc>
        <w:tc>
          <w:tcPr>
            <w:tcW w:w="3468" w:type="dxa"/>
            <w:gridSpan w:val="2"/>
            <w:noWrap w:val="0"/>
            <w:vAlign w:val="center"/>
          </w:tcPr>
          <w:p w14:paraId="0698F00D">
            <w:pPr>
              <w:widowControl/>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无偏差</w:t>
            </w:r>
          </w:p>
        </w:tc>
      </w:tr>
      <w:tr w14:paraId="6D6C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57619B4E">
            <w:pPr>
              <w:widowControl/>
              <w:jc w:val="left"/>
              <w:rPr>
                <w:rFonts w:ascii="宋体" w:hAnsi="宋体"/>
                <w:color w:val="000000"/>
                <w:kern w:val="0"/>
                <w:sz w:val="18"/>
                <w:szCs w:val="18"/>
              </w:rPr>
            </w:pPr>
          </w:p>
        </w:tc>
        <w:tc>
          <w:tcPr>
            <w:tcW w:w="2337" w:type="dxa"/>
            <w:gridSpan w:val="3"/>
            <w:noWrap w:val="0"/>
            <w:vAlign w:val="center"/>
          </w:tcPr>
          <w:p w14:paraId="6F7F7235">
            <w:pPr>
              <w:spacing w:line="320" w:lineRule="exact"/>
              <w:rPr>
                <w:rFonts w:ascii="宋体" w:hAnsi="宋体"/>
                <w:color w:val="000000"/>
                <w:kern w:val="0"/>
                <w:sz w:val="18"/>
                <w:szCs w:val="18"/>
              </w:rPr>
            </w:pPr>
            <w:r>
              <w:rPr>
                <w:rFonts w:ascii="宋体" w:hAnsi="宋体"/>
                <w:color w:val="000000"/>
                <w:kern w:val="0"/>
                <w:sz w:val="18"/>
                <w:szCs w:val="18"/>
              </w:rPr>
              <w:t>目标</w:t>
            </w:r>
            <w:r>
              <w:rPr>
                <w:rFonts w:hint="eastAsia" w:ascii="宋体" w:hAnsi="宋体"/>
                <w:color w:val="000000"/>
                <w:kern w:val="0"/>
                <w:sz w:val="18"/>
                <w:szCs w:val="18"/>
                <w:lang w:val="en-US" w:eastAsia="zh-CN"/>
              </w:rPr>
              <w:t>3</w:t>
            </w:r>
            <w:r>
              <w:rPr>
                <w:rFonts w:ascii="宋体" w:hAnsi="宋体"/>
                <w:color w:val="000000"/>
                <w:kern w:val="0"/>
                <w:sz w:val="18"/>
                <w:szCs w:val="18"/>
              </w:rPr>
              <w:t>:</w:t>
            </w:r>
            <w:r>
              <w:rPr>
                <w:rFonts w:hint="eastAsia" w:ascii="宋体" w:hAnsi="宋体" w:eastAsia="宋体" w:cs="Times New Roman"/>
                <w:color w:val="000000"/>
                <w:kern w:val="0"/>
                <w:sz w:val="18"/>
                <w:szCs w:val="18"/>
                <w:lang w:eastAsia="zh-CN"/>
              </w:rPr>
              <w:t>建立健全重大案件、重要事项联席会商机制，统筹协调各地各成员单位常态化开展宣传教育、依法打击、问题整治等扫黑除恶工作，确保最大实效</w:t>
            </w:r>
            <w:r>
              <w:rPr>
                <w:rFonts w:hint="eastAsia" w:ascii="宋体" w:hAnsi="宋体" w:cs="宋体"/>
                <w:color w:val="000000"/>
                <w:kern w:val="0"/>
                <w:szCs w:val="21"/>
              </w:rPr>
              <w:t>。</w:t>
            </w:r>
          </w:p>
        </w:tc>
        <w:tc>
          <w:tcPr>
            <w:tcW w:w="2271" w:type="dxa"/>
            <w:gridSpan w:val="3"/>
            <w:noWrap w:val="0"/>
            <w:vAlign w:val="center"/>
          </w:tcPr>
          <w:p w14:paraId="5D36B734">
            <w:pPr>
              <w:widowControl/>
              <w:jc w:val="center"/>
              <w:rPr>
                <w:rFonts w:ascii="宋体" w:hAnsi="宋体"/>
                <w:color w:val="000000"/>
                <w:kern w:val="0"/>
                <w:sz w:val="18"/>
                <w:szCs w:val="18"/>
              </w:rPr>
            </w:pPr>
            <w:r>
              <w:rPr>
                <w:rFonts w:hint="eastAsia" w:ascii="宋体" w:hAnsi="宋体"/>
                <w:color w:val="000000"/>
                <w:kern w:val="0"/>
                <w:sz w:val="18"/>
                <w:szCs w:val="18"/>
              </w:rPr>
              <w:t>完成</w:t>
            </w:r>
          </w:p>
        </w:tc>
        <w:tc>
          <w:tcPr>
            <w:tcW w:w="3468" w:type="dxa"/>
            <w:gridSpan w:val="2"/>
            <w:noWrap w:val="0"/>
            <w:vAlign w:val="center"/>
          </w:tcPr>
          <w:p w14:paraId="37FF1B09">
            <w:pPr>
              <w:widowControl/>
              <w:jc w:val="center"/>
              <w:rPr>
                <w:rFonts w:ascii="宋体" w:hAnsi="宋体"/>
                <w:color w:val="000000"/>
                <w:kern w:val="0"/>
                <w:sz w:val="18"/>
                <w:szCs w:val="18"/>
              </w:rPr>
            </w:pPr>
            <w:r>
              <w:rPr>
                <w:rFonts w:hint="eastAsia" w:ascii="宋体" w:hAnsi="宋体"/>
                <w:color w:val="000000"/>
                <w:kern w:val="0"/>
                <w:sz w:val="18"/>
                <w:szCs w:val="18"/>
              </w:rPr>
              <w:t>无偏差</w:t>
            </w:r>
          </w:p>
        </w:tc>
      </w:tr>
      <w:tr w14:paraId="3263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36FC4A22">
            <w:pPr>
              <w:widowControl/>
              <w:jc w:val="left"/>
              <w:rPr>
                <w:rFonts w:ascii="宋体" w:hAnsi="宋体"/>
                <w:color w:val="000000"/>
                <w:kern w:val="0"/>
                <w:sz w:val="18"/>
                <w:szCs w:val="18"/>
              </w:rPr>
            </w:pPr>
          </w:p>
        </w:tc>
        <w:tc>
          <w:tcPr>
            <w:tcW w:w="2337" w:type="dxa"/>
            <w:gridSpan w:val="3"/>
            <w:noWrap w:val="0"/>
            <w:vAlign w:val="center"/>
          </w:tcPr>
          <w:p w14:paraId="594755E4">
            <w:pPr>
              <w:spacing w:line="320" w:lineRule="exact"/>
              <w:rPr>
                <w:rFonts w:ascii="宋体" w:hAnsi="宋体"/>
                <w:color w:val="000000"/>
                <w:kern w:val="0"/>
                <w:sz w:val="18"/>
                <w:szCs w:val="18"/>
              </w:rPr>
            </w:pPr>
            <w:r>
              <w:rPr>
                <w:rFonts w:ascii="宋体" w:hAnsi="宋体"/>
                <w:color w:val="000000"/>
                <w:kern w:val="0"/>
                <w:sz w:val="18"/>
                <w:szCs w:val="18"/>
              </w:rPr>
              <w:t>目标</w:t>
            </w:r>
            <w:r>
              <w:rPr>
                <w:rFonts w:hint="eastAsia" w:ascii="宋体" w:hAnsi="宋体"/>
                <w:color w:val="000000"/>
                <w:kern w:val="0"/>
                <w:sz w:val="18"/>
                <w:szCs w:val="18"/>
                <w:lang w:val="en-US" w:eastAsia="zh-CN"/>
              </w:rPr>
              <w:t>4</w:t>
            </w:r>
            <w:r>
              <w:rPr>
                <w:rFonts w:ascii="宋体" w:hAnsi="宋体"/>
                <w:color w:val="000000"/>
                <w:kern w:val="0"/>
                <w:sz w:val="18"/>
                <w:szCs w:val="18"/>
              </w:rPr>
              <w:t>:</w:t>
            </w:r>
            <w:r>
              <w:rPr>
                <w:rFonts w:hint="eastAsia" w:ascii="宋体" w:hAnsi="宋体" w:eastAsia="宋体" w:cs="Times New Roman"/>
                <w:color w:val="000000"/>
                <w:kern w:val="0"/>
                <w:sz w:val="18"/>
                <w:szCs w:val="18"/>
              </w:rPr>
              <w:t>推进各</w:t>
            </w:r>
            <w:r>
              <w:rPr>
                <w:rFonts w:hint="eastAsia" w:ascii="宋体" w:hAnsi="宋体" w:eastAsia="宋体" w:cs="Times New Roman"/>
                <w:color w:val="000000"/>
                <w:kern w:val="0"/>
                <w:sz w:val="18"/>
                <w:szCs w:val="18"/>
                <w:lang w:eastAsia="zh-CN"/>
              </w:rPr>
              <w:t>地各</w:t>
            </w:r>
            <w:r>
              <w:rPr>
                <w:rFonts w:hint="eastAsia" w:ascii="宋体" w:hAnsi="宋体" w:eastAsia="宋体" w:cs="Times New Roman"/>
                <w:color w:val="000000"/>
                <w:kern w:val="0"/>
                <w:sz w:val="18"/>
                <w:szCs w:val="18"/>
              </w:rPr>
              <w:t>成员单位</w:t>
            </w:r>
            <w:r>
              <w:rPr>
                <w:rFonts w:hint="eastAsia" w:ascii="宋体" w:hAnsi="宋体" w:eastAsia="宋体" w:cs="Times New Roman"/>
                <w:color w:val="000000"/>
                <w:kern w:val="0"/>
                <w:sz w:val="18"/>
                <w:szCs w:val="18"/>
                <w:lang w:eastAsia="zh-CN"/>
              </w:rPr>
              <w:t>有力有序推进</w:t>
            </w:r>
            <w:r>
              <w:rPr>
                <w:rFonts w:hint="eastAsia" w:ascii="宋体" w:hAnsi="宋体" w:eastAsia="宋体" w:cs="Times New Roman"/>
                <w:color w:val="000000"/>
                <w:kern w:val="0"/>
                <w:sz w:val="18"/>
                <w:szCs w:val="18"/>
              </w:rPr>
              <w:t>工作，推动省</w:t>
            </w:r>
            <w:r>
              <w:rPr>
                <w:rFonts w:hint="eastAsia" w:ascii="宋体" w:hAnsi="宋体" w:eastAsia="宋体" w:cs="Times New Roman"/>
                <w:color w:val="000000"/>
                <w:kern w:val="0"/>
                <w:sz w:val="18"/>
                <w:szCs w:val="18"/>
                <w:lang w:eastAsia="zh-CN"/>
              </w:rPr>
              <w:t>扫黑除恶第</w:t>
            </w:r>
            <w:r>
              <w:rPr>
                <w:rFonts w:hint="eastAsia" w:ascii="宋体" w:hAnsi="宋体" w:eastAsia="宋体" w:cs="Times New Roman"/>
                <w:color w:val="000000"/>
                <w:kern w:val="0"/>
                <w:sz w:val="18"/>
                <w:szCs w:val="18"/>
                <w:lang w:val="en-US" w:eastAsia="zh-CN"/>
              </w:rPr>
              <w:t>6</w:t>
            </w:r>
            <w:r>
              <w:rPr>
                <w:rFonts w:hint="eastAsia" w:ascii="宋体" w:hAnsi="宋体" w:eastAsia="宋体" w:cs="Times New Roman"/>
                <w:color w:val="000000"/>
                <w:kern w:val="0"/>
                <w:sz w:val="18"/>
                <w:szCs w:val="18"/>
              </w:rPr>
              <w:t>督导</w:t>
            </w:r>
            <w:r>
              <w:rPr>
                <w:rFonts w:hint="eastAsia" w:ascii="宋体" w:hAnsi="宋体" w:eastAsia="宋体" w:cs="Times New Roman"/>
                <w:color w:val="000000"/>
                <w:kern w:val="0"/>
                <w:sz w:val="18"/>
                <w:szCs w:val="18"/>
                <w:lang w:eastAsia="zh-CN"/>
              </w:rPr>
              <w:t>组</w:t>
            </w:r>
            <w:r>
              <w:rPr>
                <w:rFonts w:hint="eastAsia" w:ascii="宋体" w:hAnsi="宋体" w:eastAsia="宋体" w:cs="Times New Roman"/>
                <w:color w:val="000000"/>
                <w:kern w:val="0"/>
                <w:sz w:val="18"/>
                <w:szCs w:val="18"/>
              </w:rPr>
              <w:t>反馈问题整改落实，</w:t>
            </w:r>
            <w:r>
              <w:rPr>
                <w:rFonts w:hint="eastAsia" w:ascii="宋体" w:hAnsi="宋体" w:eastAsia="宋体" w:cs="Times New Roman"/>
                <w:color w:val="000000"/>
                <w:kern w:val="0"/>
                <w:sz w:val="18"/>
                <w:szCs w:val="18"/>
                <w:lang w:eastAsia="zh-CN"/>
              </w:rPr>
              <w:t>压实</w:t>
            </w:r>
            <w:r>
              <w:rPr>
                <w:rFonts w:hint="eastAsia" w:ascii="宋体" w:hAnsi="宋体" w:eastAsia="宋体" w:cs="Times New Roman"/>
                <w:color w:val="000000"/>
                <w:kern w:val="0"/>
                <w:sz w:val="18"/>
                <w:szCs w:val="18"/>
              </w:rPr>
              <w:t>责任，促进整改到位。</w:t>
            </w:r>
          </w:p>
        </w:tc>
        <w:tc>
          <w:tcPr>
            <w:tcW w:w="2271" w:type="dxa"/>
            <w:gridSpan w:val="3"/>
            <w:noWrap w:val="0"/>
            <w:vAlign w:val="center"/>
          </w:tcPr>
          <w:p w14:paraId="700B88DB">
            <w:pPr>
              <w:widowControl/>
              <w:jc w:val="center"/>
              <w:rPr>
                <w:rFonts w:ascii="宋体" w:hAnsi="宋体"/>
                <w:color w:val="000000"/>
                <w:kern w:val="0"/>
                <w:sz w:val="18"/>
                <w:szCs w:val="18"/>
              </w:rPr>
            </w:pPr>
            <w:r>
              <w:rPr>
                <w:rFonts w:hint="eastAsia" w:ascii="宋体" w:hAnsi="宋体"/>
                <w:color w:val="000000"/>
                <w:kern w:val="0"/>
                <w:sz w:val="18"/>
                <w:szCs w:val="18"/>
              </w:rPr>
              <w:t>完成</w:t>
            </w:r>
          </w:p>
        </w:tc>
        <w:tc>
          <w:tcPr>
            <w:tcW w:w="3468" w:type="dxa"/>
            <w:gridSpan w:val="2"/>
            <w:noWrap w:val="0"/>
            <w:vAlign w:val="center"/>
          </w:tcPr>
          <w:p w14:paraId="1F16A77F">
            <w:pPr>
              <w:widowControl/>
              <w:jc w:val="center"/>
              <w:rPr>
                <w:rFonts w:ascii="宋体" w:hAnsi="宋体"/>
                <w:color w:val="000000"/>
                <w:kern w:val="0"/>
                <w:sz w:val="18"/>
                <w:szCs w:val="18"/>
              </w:rPr>
            </w:pPr>
            <w:r>
              <w:rPr>
                <w:rFonts w:hint="eastAsia" w:ascii="宋体" w:hAnsi="宋体"/>
                <w:color w:val="000000"/>
                <w:kern w:val="0"/>
                <w:sz w:val="18"/>
                <w:szCs w:val="18"/>
              </w:rPr>
              <w:t>无偏差</w:t>
            </w:r>
          </w:p>
        </w:tc>
      </w:tr>
      <w:tr w14:paraId="417E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11135CC1">
            <w:pPr>
              <w:widowControl/>
              <w:jc w:val="left"/>
              <w:rPr>
                <w:rFonts w:ascii="宋体" w:hAnsi="宋体"/>
                <w:color w:val="000000"/>
                <w:kern w:val="0"/>
                <w:sz w:val="18"/>
                <w:szCs w:val="18"/>
              </w:rPr>
            </w:pPr>
          </w:p>
        </w:tc>
        <w:tc>
          <w:tcPr>
            <w:tcW w:w="2337" w:type="dxa"/>
            <w:gridSpan w:val="3"/>
            <w:noWrap w:val="0"/>
            <w:vAlign w:val="center"/>
          </w:tcPr>
          <w:p w14:paraId="194192AD">
            <w:pPr>
              <w:widowControl/>
              <w:jc w:val="left"/>
              <w:rPr>
                <w:rFonts w:ascii="宋体" w:hAnsi="宋体"/>
                <w:color w:val="000000"/>
                <w:kern w:val="0"/>
                <w:sz w:val="18"/>
                <w:szCs w:val="18"/>
              </w:rPr>
            </w:pPr>
            <w:r>
              <w:rPr>
                <w:rFonts w:ascii="宋体" w:hAnsi="宋体"/>
                <w:color w:val="000000"/>
                <w:kern w:val="0"/>
                <w:sz w:val="18"/>
                <w:szCs w:val="18"/>
              </w:rPr>
              <w:t>目标</w:t>
            </w:r>
            <w:r>
              <w:rPr>
                <w:rFonts w:hint="eastAsia" w:ascii="宋体" w:hAnsi="宋体"/>
                <w:color w:val="000000"/>
                <w:kern w:val="0"/>
                <w:sz w:val="18"/>
                <w:szCs w:val="18"/>
                <w:lang w:val="en-US" w:eastAsia="zh-CN"/>
              </w:rPr>
              <w:t>5</w:t>
            </w:r>
            <w:r>
              <w:rPr>
                <w:rFonts w:ascii="宋体" w:hAnsi="宋体"/>
                <w:color w:val="000000"/>
                <w:kern w:val="0"/>
                <w:sz w:val="18"/>
                <w:szCs w:val="18"/>
              </w:rPr>
              <w:t>:</w:t>
            </w:r>
            <w:r>
              <w:rPr>
                <w:rFonts w:hint="eastAsia" w:ascii="宋体" w:hAnsi="宋体" w:eastAsia="宋体" w:cs="Times New Roman"/>
                <w:color w:val="000000"/>
                <w:kern w:val="0"/>
                <w:sz w:val="18"/>
                <w:szCs w:val="18"/>
                <w:lang w:eastAsia="zh-CN"/>
              </w:rPr>
              <w:t>强化工作督导，开展对后进地区、单位警示提醒、约谈，督促工作落实，全面完成年度目标任务。</w:t>
            </w:r>
          </w:p>
        </w:tc>
        <w:tc>
          <w:tcPr>
            <w:tcW w:w="2271" w:type="dxa"/>
            <w:gridSpan w:val="3"/>
            <w:noWrap w:val="0"/>
            <w:vAlign w:val="center"/>
          </w:tcPr>
          <w:p w14:paraId="76092D80">
            <w:pPr>
              <w:widowControl/>
              <w:jc w:val="center"/>
              <w:rPr>
                <w:rFonts w:ascii="宋体" w:hAnsi="宋体"/>
                <w:color w:val="000000"/>
                <w:kern w:val="0"/>
                <w:sz w:val="18"/>
                <w:szCs w:val="18"/>
              </w:rPr>
            </w:pPr>
            <w:r>
              <w:rPr>
                <w:rFonts w:hint="eastAsia" w:ascii="宋体" w:hAnsi="宋体"/>
                <w:color w:val="000000"/>
                <w:kern w:val="0"/>
                <w:sz w:val="18"/>
                <w:szCs w:val="18"/>
              </w:rPr>
              <w:t>完成</w:t>
            </w:r>
          </w:p>
        </w:tc>
        <w:tc>
          <w:tcPr>
            <w:tcW w:w="3468" w:type="dxa"/>
            <w:gridSpan w:val="2"/>
            <w:noWrap w:val="0"/>
            <w:vAlign w:val="center"/>
          </w:tcPr>
          <w:p w14:paraId="5BE899AC">
            <w:pPr>
              <w:widowControl/>
              <w:jc w:val="center"/>
              <w:rPr>
                <w:rFonts w:ascii="宋体" w:hAnsi="宋体"/>
                <w:color w:val="000000"/>
                <w:kern w:val="0"/>
                <w:sz w:val="18"/>
                <w:szCs w:val="18"/>
              </w:rPr>
            </w:pPr>
            <w:r>
              <w:rPr>
                <w:rFonts w:hint="eastAsia" w:ascii="宋体" w:hAnsi="宋体"/>
                <w:color w:val="000000"/>
                <w:kern w:val="0"/>
                <w:sz w:val="18"/>
                <w:szCs w:val="18"/>
              </w:rPr>
              <w:t>无偏差</w:t>
            </w:r>
          </w:p>
        </w:tc>
      </w:tr>
      <w:tr w14:paraId="5A4A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94" w:type="dxa"/>
            <w:vMerge w:val="restart"/>
            <w:noWrap w:val="0"/>
            <w:vAlign w:val="center"/>
          </w:tcPr>
          <w:p w14:paraId="4FDA789F">
            <w:pPr>
              <w:widowControl/>
              <w:jc w:val="center"/>
              <w:rPr>
                <w:rFonts w:ascii="宋体" w:hAnsi="宋体"/>
                <w:color w:val="000000"/>
                <w:kern w:val="0"/>
                <w:sz w:val="18"/>
                <w:szCs w:val="18"/>
              </w:rPr>
            </w:pPr>
            <w:r>
              <w:rPr>
                <w:rFonts w:ascii="宋体" w:hAnsi="宋体"/>
                <w:color w:val="000000"/>
                <w:kern w:val="0"/>
                <w:sz w:val="18"/>
                <w:szCs w:val="18"/>
              </w:rPr>
              <w:t>年度绩</w:t>
            </w:r>
          </w:p>
          <w:p w14:paraId="69580F9B">
            <w:pPr>
              <w:widowControl/>
              <w:jc w:val="center"/>
              <w:rPr>
                <w:rFonts w:ascii="宋体" w:hAnsi="宋体"/>
                <w:color w:val="000000"/>
                <w:kern w:val="0"/>
                <w:sz w:val="18"/>
                <w:szCs w:val="18"/>
              </w:rPr>
            </w:pPr>
            <w:r>
              <w:rPr>
                <w:rFonts w:ascii="宋体" w:hAnsi="宋体"/>
                <w:color w:val="000000"/>
                <w:kern w:val="0"/>
                <w:sz w:val="18"/>
                <w:szCs w:val="18"/>
              </w:rPr>
              <w:t>效指标</w:t>
            </w:r>
          </w:p>
        </w:tc>
        <w:tc>
          <w:tcPr>
            <w:tcW w:w="847" w:type="dxa"/>
            <w:noWrap w:val="0"/>
            <w:vAlign w:val="center"/>
          </w:tcPr>
          <w:p w14:paraId="2D5190B4">
            <w:pPr>
              <w:widowControl/>
              <w:jc w:val="center"/>
              <w:rPr>
                <w:rFonts w:ascii="宋体" w:hAnsi="宋体"/>
                <w:color w:val="000000"/>
                <w:kern w:val="0"/>
                <w:sz w:val="18"/>
                <w:szCs w:val="18"/>
              </w:rPr>
            </w:pPr>
            <w:r>
              <w:rPr>
                <w:rFonts w:ascii="宋体" w:hAnsi="宋体"/>
                <w:color w:val="000000"/>
                <w:kern w:val="0"/>
                <w:sz w:val="18"/>
                <w:szCs w:val="18"/>
              </w:rPr>
              <w:t>一级</w:t>
            </w:r>
          </w:p>
          <w:p w14:paraId="3AC32F5D">
            <w:pPr>
              <w:widowControl/>
              <w:jc w:val="center"/>
              <w:rPr>
                <w:rFonts w:ascii="宋体" w:hAnsi="宋体"/>
                <w:color w:val="000000"/>
                <w:kern w:val="0"/>
                <w:sz w:val="18"/>
                <w:szCs w:val="18"/>
              </w:rPr>
            </w:pPr>
            <w:r>
              <w:rPr>
                <w:rFonts w:ascii="宋体" w:hAnsi="宋体"/>
                <w:color w:val="000000"/>
                <w:kern w:val="0"/>
                <w:sz w:val="18"/>
                <w:szCs w:val="18"/>
              </w:rPr>
              <w:t>指标</w:t>
            </w:r>
          </w:p>
        </w:tc>
        <w:tc>
          <w:tcPr>
            <w:tcW w:w="1490" w:type="dxa"/>
            <w:gridSpan w:val="2"/>
            <w:noWrap w:val="0"/>
            <w:vAlign w:val="center"/>
          </w:tcPr>
          <w:p w14:paraId="2DB3D18D">
            <w:pPr>
              <w:widowControl/>
              <w:jc w:val="center"/>
              <w:rPr>
                <w:rFonts w:ascii="宋体" w:hAnsi="宋体"/>
                <w:color w:val="000000"/>
                <w:kern w:val="0"/>
                <w:sz w:val="18"/>
                <w:szCs w:val="18"/>
              </w:rPr>
            </w:pPr>
            <w:r>
              <w:rPr>
                <w:rFonts w:ascii="宋体" w:hAnsi="宋体"/>
                <w:color w:val="000000"/>
                <w:kern w:val="0"/>
                <w:sz w:val="18"/>
                <w:szCs w:val="18"/>
              </w:rPr>
              <w:t>二级指标</w:t>
            </w:r>
          </w:p>
        </w:tc>
        <w:tc>
          <w:tcPr>
            <w:tcW w:w="849" w:type="dxa"/>
            <w:noWrap w:val="0"/>
            <w:vAlign w:val="center"/>
          </w:tcPr>
          <w:p w14:paraId="66F3B9E8">
            <w:pPr>
              <w:widowControl/>
              <w:jc w:val="center"/>
              <w:rPr>
                <w:rFonts w:ascii="宋体" w:hAnsi="宋体"/>
                <w:color w:val="000000"/>
                <w:kern w:val="0"/>
                <w:sz w:val="18"/>
                <w:szCs w:val="18"/>
              </w:rPr>
            </w:pPr>
            <w:r>
              <w:rPr>
                <w:rFonts w:ascii="宋体" w:hAnsi="宋体"/>
                <w:color w:val="000000"/>
                <w:kern w:val="0"/>
                <w:sz w:val="18"/>
                <w:szCs w:val="18"/>
              </w:rPr>
              <w:t>三级</w:t>
            </w:r>
          </w:p>
          <w:p w14:paraId="6CD1645C">
            <w:pPr>
              <w:widowControl/>
              <w:jc w:val="center"/>
              <w:rPr>
                <w:rFonts w:ascii="宋体" w:hAnsi="宋体"/>
                <w:color w:val="000000"/>
                <w:kern w:val="0"/>
                <w:sz w:val="18"/>
                <w:szCs w:val="18"/>
              </w:rPr>
            </w:pPr>
            <w:r>
              <w:rPr>
                <w:rFonts w:ascii="宋体" w:hAnsi="宋体"/>
                <w:color w:val="000000"/>
                <w:kern w:val="0"/>
                <w:sz w:val="18"/>
                <w:szCs w:val="18"/>
              </w:rPr>
              <w:t>指标</w:t>
            </w:r>
          </w:p>
        </w:tc>
        <w:tc>
          <w:tcPr>
            <w:tcW w:w="1422" w:type="dxa"/>
            <w:gridSpan w:val="2"/>
            <w:noWrap w:val="0"/>
            <w:vAlign w:val="center"/>
          </w:tcPr>
          <w:p w14:paraId="310A1342">
            <w:pPr>
              <w:widowControl/>
              <w:jc w:val="center"/>
              <w:rPr>
                <w:rFonts w:ascii="宋体" w:hAnsi="宋体"/>
                <w:color w:val="000000"/>
                <w:kern w:val="0"/>
                <w:sz w:val="18"/>
                <w:szCs w:val="18"/>
              </w:rPr>
            </w:pPr>
            <w:r>
              <w:rPr>
                <w:rFonts w:ascii="宋体" w:hAnsi="宋体"/>
                <w:color w:val="000000"/>
                <w:kern w:val="0"/>
                <w:sz w:val="18"/>
                <w:szCs w:val="18"/>
              </w:rPr>
              <w:t>预算指标值(包含数字及文字描述)</w:t>
            </w:r>
          </w:p>
        </w:tc>
        <w:tc>
          <w:tcPr>
            <w:tcW w:w="1559" w:type="dxa"/>
            <w:noWrap w:val="0"/>
            <w:vAlign w:val="center"/>
          </w:tcPr>
          <w:p w14:paraId="57353285">
            <w:pPr>
              <w:widowControl/>
              <w:jc w:val="center"/>
              <w:rPr>
                <w:rFonts w:ascii="宋体" w:hAnsi="宋体"/>
                <w:color w:val="000000"/>
                <w:kern w:val="0"/>
                <w:sz w:val="18"/>
                <w:szCs w:val="18"/>
              </w:rPr>
            </w:pPr>
            <w:r>
              <w:rPr>
                <w:rFonts w:ascii="宋体" w:hAnsi="宋体"/>
                <w:color w:val="000000"/>
                <w:kern w:val="0"/>
                <w:sz w:val="18"/>
                <w:szCs w:val="18"/>
              </w:rPr>
              <w:t>预算指标值执行结果(包含数字及文字描述)</w:t>
            </w:r>
          </w:p>
        </w:tc>
        <w:tc>
          <w:tcPr>
            <w:tcW w:w="1909" w:type="dxa"/>
            <w:noWrap w:val="0"/>
            <w:vAlign w:val="center"/>
          </w:tcPr>
          <w:p w14:paraId="6ED9EE8D">
            <w:pPr>
              <w:widowControl/>
              <w:jc w:val="center"/>
              <w:rPr>
                <w:rFonts w:ascii="宋体" w:hAnsi="宋体"/>
                <w:color w:val="000000"/>
                <w:kern w:val="0"/>
                <w:sz w:val="18"/>
                <w:szCs w:val="18"/>
              </w:rPr>
            </w:pPr>
            <w:r>
              <w:rPr>
                <w:rFonts w:ascii="宋体" w:hAnsi="宋体"/>
                <w:color w:val="000000"/>
                <w:kern w:val="0"/>
                <w:sz w:val="18"/>
                <w:szCs w:val="18"/>
              </w:rPr>
              <w:t>预算指标值与预算指标值执行结果偏差情况及原因分析</w:t>
            </w:r>
          </w:p>
        </w:tc>
      </w:tr>
      <w:tr w14:paraId="20BD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trPr>
        <w:tc>
          <w:tcPr>
            <w:tcW w:w="894" w:type="dxa"/>
            <w:vMerge w:val="continue"/>
            <w:noWrap w:val="0"/>
            <w:vAlign w:val="center"/>
          </w:tcPr>
          <w:p w14:paraId="18EFC4BC">
            <w:pPr>
              <w:widowControl/>
              <w:jc w:val="left"/>
              <w:rPr>
                <w:rFonts w:ascii="宋体" w:hAnsi="宋体"/>
                <w:color w:val="000000"/>
                <w:kern w:val="0"/>
                <w:sz w:val="18"/>
                <w:szCs w:val="18"/>
              </w:rPr>
            </w:pPr>
          </w:p>
        </w:tc>
        <w:tc>
          <w:tcPr>
            <w:tcW w:w="847" w:type="dxa"/>
            <w:vMerge w:val="restart"/>
            <w:noWrap w:val="0"/>
            <w:vAlign w:val="center"/>
          </w:tcPr>
          <w:p w14:paraId="295B7014">
            <w:pPr>
              <w:widowControl/>
              <w:jc w:val="center"/>
              <w:rPr>
                <w:rFonts w:ascii="宋体" w:hAnsi="宋体"/>
                <w:color w:val="000000"/>
                <w:kern w:val="0"/>
                <w:sz w:val="18"/>
                <w:szCs w:val="18"/>
              </w:rPr>
            </w:pPr>
            <w:r>
              <w:rPr>
                <w:rFonts w:ascii="宋体" w:hAnsi="宋体"/>
                <w:color w:val="000000"/>
                <w:kern w:val="0"/>
                <w:sz w:val="18"/>
                <w:szCs w:val="18"/>
              </w:rPr>
              <w:t>项目</w:t>
            </w:r>
          </w:p>
          <w:p w14:paraId="08691729">
            <w:pPr>
              <w:widowControl/>
              <w:jc w:val="center"/>
              <w:rPr>
                <w:rFonts w:ascii="宋体" w:hAnsi="宋体"/>
                <w:color w:val="000000"/>
                <w:kern w:val="0"/>
                <w:sz w:val="18"/>
                <w:szCs w:val="18"/>
              </w:rPr>
            </w:pPr>
            <w:r>
              <w:rPr>
                <w:rFonts w:ascii="宋体" w:hAnsi="宋体"/>
                <w:color w:val="000000"/>
                <w:kern w:val="0"/>
                <w:sz w:val="18"/>
                <w:szCs w:val="18"/>
              </w:rPr>
              <w:t>完成</w:t>
            </w:r>
          </w:p>
        </w:tc>
        <w:tc>
          <w:tcPr>
            <w:tcW w:w="1490" w:type="dxa"/>
            <w:gridSpan w:val="2"/>
            <w:noWrap w:val="0"/>
            <w:vAlign w:val="center"/>
          </w:tcPr>
          <w:p w14:paraId="0E83BDCC">
            <w:pPr>
              <w:widowControl/>
              <w:jc w:val="center"/>
              <w:rPr>
                <w:rFonts w:ascii="宋体" w:hAnsi="宋体"/>
                <w:color w:val="000000"/>
                <w:kern w:val="0"/>
                <w:sz w:val="18"/>
                <w:szCs w:val="18"/>
              </w:rPr>
            </w:pPr>
            <w:r>
              <w:rPr>
                <w:rFonts w:ascii="宋体" w:hAnsi="宋体"/>
                <w:color w:val="000000"/>
                <w:kern w:val="0"/>
                <w:sz w:val="18"/>
                <w:szCs w:val="18"/>
              </w:rPr>
              <w:t>数量</w:t>
            </w:r>
          </w:p>
          <w:p w14:paraId="40D4E8E7">
            <w:pPr>
              <w:widowControl/>
              <w:jc w:val="center"/>
              <w:rPr>
                <w:rFonts w:ascii="宋体" w:hAnsi="宋体"/>
                <w:color w:val="000000"/>
                <w:kern w:val="0"/>
                <w:sz w:val="18"/>
                <w:szCs w:val="18"/>
              </w:rPr>
            </w:pPr>
            <w:r>
              <w:rPr>
                <w:rFonts w:ascii="宋体" w:hAnsi="宋体"/>
                <w:color w:val="000000"/>
                <w:kern w:val="0"/>
                <w:sz w:val="18"/>
                <w:szCs w:val="18"/>
              </w:rPr>
              <w:t>指标</w:t>
            </w:r>
          </w:p>
        </w:tc>
        <w:tc>
          <w:tcPr>
            <w:tcW w:w="849" w:type="dxa"/>
            <w:noWrap w:val="0"/>
            <w:vAlign w:val="center"/>
          </w:tcPr>
          <w:p w14:paraId="703377D8">
            <w:pPr>
              <w:widowControl/>
              <w:jc w:val="center"/>
              <w:rPr>
                <w:rFonts w:ascii="宋体" w:hAnsi="宋体"/>
                <w:color w:val="000000"/>
                <w:kern w:val="0"/>
                <w:sz w:val="18"/>
                <w:szCs w:val="18"/>
              </w:rPr>
            </w:pPr>
            <w:r>
              <w:rPr>
                <w:rFonts w:hint="eastAsia" w:ascii="宋体" w:hAnsi="宋体"/>
                <w:color w:val="000000"/>
                <w:kern w:val="0"/>
                <w:sz w:val="18"/>
                <w:szCs w:val="18"/>
              </w:rPr>
              <w:t>完成扫黑除恶日常相关工作</w:t>
            </w:r>
          </w:p>
        </w:tc>
        <w:tc>
          <w:tcPr>
            <w:tcW w:w="1422" w:type="dxa"/>
            <w:gridSpan w:val="2"/>
            <w:noWrap w:val="0"/>
            <w:vAlign w:val="center"/>
          </w:tcPr>
          <w:p w14:paraId="7C0ECD1F">
            <w:pPr>
              <w:widowControl/>
              <w:jc w:val="left"/>
              <w:rPr>
                <w:rFonts w:ascii="宋体" w:hAnsi="宋体"/>
                <w:color w:val="000000"/>
                <w:kern w:val="0"/>
                <w:sz w:val="18"/>
                <w:szCs w:val="18"/>
              </w:rPr>
            </w:pPr>
            <w:r>
              <w:rPr>
                <w:rFonts w:hint="eastAsia" w:ascii="宋体" w:hAnsi="宋体"/>
                <w:color w:val="000000"/>
                <w:kern w:val="0"/>
                <w:sz w:val="18"/>
                <w:szCs w:val="18"/>
              </w:rPr>
              <w:t>强化组织领导，推动工作落实。</w:t>
            </w:r>
          </w:p>
        </w:tc>
        <w:tc>
          <w:tcPr>
            <w:tcW w:w="1559" w:type="dxa"/>
            <w:noWrap w:val="0"/>
            <w:vAlign w:val="center"/>
          </w:tcPr>
          <w:p w14:paraId="58678F25">
            <w:pPr>
              <w:widowControl/>
              <w:jc w:val="both"/>
              <w:rPr>
                <w:rFonts w:hint="eastAsia" w:ascii="宋体" w:hAnsi="宋体" w:cs="宋体"/>
                <w:color w:val="000000"/>
                <w:sz w:val="18"/>
                <w:szCs w:val="18"/>
              </w:rPr>
            </w:pPr>
            <w:r>
              <w:rPr>
                <w:rFonts w:hint="eastAsia" w:ascii="宋体" w:hAnsi="宋体" w:cs="宋体"/>
                <w:color w:val="000000"/>
                <w:sz w:val="18"/>
                <w:szCs w:val="18"/>
                <w:lang w:eastAsia="zh-CN"/>
              </w:rPr>
              <w:t>一是</w:t>
            </w:r>
            <w:r>
              <w:rPr>
                <w:rFonts w:hint="eastAsia" w:ascii="宋体" w:hAnsi="宋体" w:cs="宋体"/>
                <w:color w:val="000000"/>
                <w:sz w:val="18"/>
                <w:szCs w:val="18"/>
              </w:rPr>
              <w:t>市委</w:t>
            </w:r>
            <w:r>
              <w:rPr>
                <w:rFonts w:hint="eastAsia" w:ascii="宋体" w:hAnsi="宋体" w:cs="宋体"/>
                <w:color w:val="000000"/>
                <w:sz w:val="18"/>
                <w:szCs w:val="18"/>
                <w:lang w:eastAsia="zh-CN"/>
              </w:rPr>
              <w:t>常委会多次研究常态化扫黑除恶工作，市委主要领导亲自阅示工作报告，提出更高期望和要求。市委、市政府分管领导定期听取听取专题汇报，亲自组织召开专题会议部署安排，深入一线靠前指挥，推动工作落实。</w:t>
            </w:r>
            <w:r>
              <w:rPr>
                <w:rFonts w:hint="eastAsia" w:ascii="宋体" w:hAnsi="宋体" w:cs="宋体"/>
                <w:color w:val="000000"/>
                <w:sz w:val="18"/>
                <w:szCs w:val="18"/>
              </w:rPr>
              <w:t>市领导小组、市扫黑办专题研究</w:t>
            </w:r>
            <w:r>
              <w:rPr>
                <w:rFonts w:hint="eastAsia" w:ascii="宋体" w:hAnsi="宋体" w:cs="宋体"/>
                <w:color w:val="000000"/>
                <w:sz w:val="18"/>
                <w:szCs w:val="18"/>
                <w:lang w:eastAsia="zh-CN"/>
              </w:rPr>
              <w:t>近</w:t>
            </w:r>
            <w:r>
              <w:rPr>
                <w:rFonts w:hint="eastAsia" w:ascii="宋体" w:hAnsi="宋体" w:cs="宋体"/>
                <w:color w:val="000000"/>
                <w:sz w:val="18"/>
                <w:szCs w:val="18"/>
                <w:lang w:val="en-US" w:eastAsia="zh-CN"/>
              </w:rPr>
              <w:t>20次</w:t>
            </w:r>
            <w:r>
              <w:rPr>
                <w:rFonts w:hint="eastAsia" w:ascii="宋体" w:hAnsi="宋体" w:cs="宋体"/>
                <w:color w:val="000000"/>
                <w:sz w:val="18"/>
                <w:szCs w:val="18"/>
              </w:rPr>
              <w:t>，对常态化开展扫黑除恶斗争及时部署</w:t>
            </w:r>
            <w:r>
              <w:rPr>
                <w:rFonts w:hint="eastAsia" w:ascii="宋体" w:hAnsi="宋体" w:cs="宋体"/>
                <w:color w:val="000000"/>
                <w:sz w:val="18"/>
                <w:szCs w:val="18"/>
                <w:lang w:eastAsia="zh-CN"/>
              </w:rPr>
              <w:t>，统筹推进</w:t>
            </w:r>
            <w:r>
              <w:rPr>
                <w:rFonts w:hint="eastAsia" w:ascii="宋体" w:hAnsi="宋体" w:cs="宋体"/>
                <w:color w:val="000000"/>
                <w:sz w:val="18"/>
                <w:szCs w:val="18"/>
              </w:rPr>
              <w:t>。二是细化任务，推动工作落实。</w:t>
            </w:r>
            <w:r>
              <w:rPr>
                <w:rFonts w:hint="eastAsia" w:ascii="宋体" w:hAnsi="宋体" w:cs="宋体"/>
                <w:color w:val="000000"/>
                <w:sz w:val="18"/>
                <w:szCs w:val="18"/>
                <w:lang w:eastAsia="zh-CN"/>
              </w:rPr>
              <w:t>出台</w:t>
            </w:r>
            <w:r>
              <w:rPr>
                <w:rFonts w:hint="eastAsia" w:ascii="宋体" w:hAnsi="宋体" w:cs="宋体"/>
                <w:color w:val="000000"/>
                <w:sz w:val="18"/>
                <w:szCs w:val="18"/>
                <w:lang w:val="en-US" w:eastAsia="zh-CN"/>
              </w:rPr>
              <w:t>2023年工作要点、《关于提供依法治理农村宗族势力渗透把持基层组织意见建议的通知》等文件，对常态化扫黑除恶斗争各项工作作出部署安排</w:t>
            </w:r>
            <w:r>
              <w:rPr>
                <w:rFonts w:hint="eastAsia" w:ascii="宋体" w:hAnsi="宋体" w:cs="宋体"/>
                <w:color w:val="000000"/>
                <w:sz w:val="18"/>
                <w:szCs w:val="18"/>
                <w:lang w:eastAsia="zh-CN"/>
              </w:rPr>
              <w:t>。</w:t>
            </w:r>
            <w:r>
              <w:rPr>
                <w:rFonts w:hint="eastAsia" w:ascii="宋体" w:hAnsi="宋体" w:cs="宋体"/>
                <w:color w:val="000000"/>
                <w:sz w:val="18"/>
                <w:szCs w:val="18"/>
              </w:rPr>
              <w:t>通过</w:t>
            </w:r>
            <w:r>
              <w:rPr>
                <w:rFonts w:hint="eastAsia" w:ascii="宋体" w:hAnsi="宋体" w:cs="宋体"/>
                <w:color w:val="000000"/>
                <w:sz w:val="18"/>
                <w:szCs w:val="18"/>
                <w:lang w:eastAsia="zh-CN"/>
              </w:rPr>
              <w:t>进一步</w:t>
            </w:r>
            <w:r>
              <w:rPr>
                <w:rFonts w:hint="eastAsia" w:ascii="宋体" w:hAnsi="宋体" w:cs="宋体"/>
                <w:color w:val="000000"/>
                <w:sz w:val="18"/>
                <w:szCs w:val="18"/>
              </w:rPr>
              <w:t>完善“四组一中心”工作运行机制，将</w:t>
            </w:r>
            <w:r>
              <w:rPr>
                <w:rFonts w:hint="eastAsia" w:ascii="宋体" w:hAnsi="宋体" w:cs="宋体"/>
                <w:color w:val="000000"/>
                <w:sz w:val="18"/>
                <w:szCs w:val="18"/>
                <w:lang w:eastAsia="zh-CN"/>
              </w:rPr>
              <w:t>《反有组织犯罪法》宣传贯彻，涉黑、涉网新型涉黑恶案件办理和</w:t>
            </w:r>
            <w:r>
              <w:rPr>
                <w:rFonts w:hint="eastAsia" w:ascii="宋体" w:hAnsi="宋体" w:cs="宋体"/>
                <w:color w:val="000000"/>
                <w:sz w:val="18"/>
                <w:szCs w:val="18"/>
              </w:rPr>
              <w:t>重点行业</w:t>
            </w:r>
            <w:r>
              <w:rPr>
                <w:rFonts w:hint="eastAsia" w:ascii="宋体" w:hAnsi="宋体" w:cs="宋体"/>
                <w:color w:val="000000"/>
                <w:sz w:val="18"/>
                <w:szCs w:val="18"/>
                <w:lang w:eastAsia="zh-CN"/>
              </w:rPr>
              <w:t>领域问题</w:t>
            </w:r>
            <w:r>
              <w:rPr>
                <w:rFonts w:hint="eastAsia" w:ascii="宋体" w:hAnsi="宋体" w:cs="宋体"/>
                <w:color w:val="000000"/>
                <w:sz w:val="18"/>
                <w:szCs w:val="18"/>
              </w:rPr>
              <w:t>整治</w:t>
            </w:r>
            <w:r>
              <w:rPr>
                <w:rFonts w:hint="eastAsia" w:ascii="宋体" w:hAnsi="宋体" w:cs="宋体"/>
                <w:color w:val="000000"/>
                <w:sz w:val="18"/>
                <w:szCs w:val="18"/>
                <w:lang w:eastAsia="zh-CN"/>
              </w:rPr>
              <w:t>作为</w:t>
            </w:r>
            <w:r>
              <w:rPr>
                <w:rFonts w:hint="eastAsia" w:ascii="宋体" w:hAnsi="宋体" w:cs="宋体"/>
                <w:color w:val="000000"/>
                <w:sz w:val="18"/>
                <w:szCs w:val="18"/>
                <w:lang w:val="en-US" w:eastAsia="zh-CN"/>
              </w:rPr>
              <w:t>2023年</w:t>
            </w:r>
            <w:r>
              <w:rPr>
                <w:rFonts w:hint="eastAsia" w:ascii="宋体" w:hAnsi="宋体" w:cs="宋体"/>
                <w:color w:val="000000"/>
                <w:sz w:val="18"/>
                <w:szCs w:val="18"/>
              </w:rPr>
              <w:t>常态化扫黑除恶</w:t>
            </w:r>
            <w:r>
              <w:rPr>
                <w:rFonts w:hint="eastAsia" w:ascii="宋体" w:hAnsi="宋体" w:cs="宋体"/>
                <w:color w:val="000000"/>
                <w:sz w:val="18"/>
                <w:szCs w:val="18"/>
                <w:lang w:eastAsia="zh-CN"/>
              </w:rPr>
              <w:t>工作</w:t>
            </w:r>
            <w:r>
              <w:rPr>
                <w:rFonts w:hint="eastAsia" w:ascii="宋体" w:hAnsi="宋体" w:cs="宋体"/>
                <w:color w:val="000000"/>
                <w:sz w:val="18"/>
                <w:szCs w:val="18"/>
              </w:rPr>
              <w:t>重要任务，</w:t>
            </w:r>
            <w:r>
              <w:rPr>
                <w:rFonts w:hint="eastAsia" w:ascii="宋体" w:hAnsi="宋体" w:cs="宋体"/>
                <w:color w:val="000000"/>
                <w:sz w:val="18"/>
                <w:szCs w:val="18"/>
                <w:lang w:eastAsia="zh-CN"/>
              </w:rPr>
              <w:t>全力推动落实。将常态化扫黑除恶斗争</w:t>
            </w:r>
            <w:r>
              <w:rPr>
                <w:rFonts w:hint="eastAsia" w:ascii="宋体" w:hAnsi="宋体" w:cs="宋体"/>
                <w:color w:val="000000"/>
                <w:sz w:val="18"/>
                <w:szCs w:val="18"/>
              </w:rPr>
              <w:t>纳入市委市政府的年终目标考核</w:t>
            </w:r>
            <w:r>
              <w:rPr>
                <w:rFonts w:hint="eastAsia" w:ascii="宋体" w:hAnsi="宋体" w:cs="宋体"/>
                <w:color w:val="000000"/>
                <w:sz w:val="18"/>
                <w:szCs w:val="18"/>
                <w:lang w:eastAsia="zh-CN"/>
              </w:rPr>
              <w:t>，纳入平安资阳建设考评指标体系，务求工作实效</w:t>
            </w:r>
            <w:r>
              <w:rPr>
                <w:rFonts w:hint="eastAsia" w:ascii="宋体" w:hAnsi="宋体" w:cs="宋体"/>
                <w:color w:val="000000"/>
                <w:sz w:val="18"/>
                <w:szCs w:val="18"/>
              </w:rPr>
              <w:t>。三是严格督导，压实压紧责任。组织明察暗访，开展调研督导</w:t>
            </w:r>
            <w:r>
              <w:rPr>
                <w:rFonts w:hint="eastAsia" w:ascii="宋体" w:hAnsi="宋体" w:cs="宋体"/>
                <w:color w:val="000000"/>
                <w:sz w:val="18"/>
                <w:szCs w:val="18"/>
                <w:lang w:eastAsia="zh-CN"/>
              </w:rPr>
              <w:t>近</w:t>
            </w:r>
            <w:r>
              <w:rPr>
                <w:rFonts w:hint="eastAsia" w:ascii="宋体" w:hAnsi="宋体" w:cs="宋体"/>
                <w:color w:val="000000"/>
                <w:sz w:val="18"/>
                <w:szCs w:val="18"/>
                <w:lang w:val="en-US" w:eastAsia="zh-CN"/>
              </w:rPr>
              <w:t>20次</w:t>
            </w:r>
            <w:r>
              <w:rPr>
                <w:rFonts w:hint="eastAsia" w:ascii="宋体" w:hAnsi="宋体" w:cs="宋体"/>
                <w:color w:val="000000"/>
                <w:sz w:val="18"/>
                <w:szCs w:val="18"/>
              </w:rPr>
              <w:t>，</w:t>
            </w:r>
            <w:r>
              <w:rPr>
                <w:rFonts w:hint="eastAsia" w:ascii="宋体" w:hAnsi="宋体" w:cs="宋体"/>
                <w:color w:val="000000"/>
                <w:sz w:val="18"/>
                <w:szCs w:val="18"/>
                <w:lang w:eastAsia="zh-CN"/>
              </w:rPr>
              <w:t>重点行业领域专题督导</w:t>
            </w:r>
            <w:r>
              <w:rPr>
                <w:rFonts w:hint="eastAsia" w:ascii="宋体" w:hAnsi="宋体" w:cs="宋体"/>
                <w:color w:val="000000"/>
                <w:sz w:val="18"/>
                <w:szCs w:val="18"/>
                <w:lang w:val="en-US" w:eastAsia="zh-CN"/>
              </w:rPr>
              <w:t>3次，常态化扫黑除恶综合督导2轮，</w:t>
            </w:r>
            <w:r>
              <w:rPr>
                <w:rFonts w:hint="eastAsia" w:ascii="宋体" w:hAnsi="宋体" w:cs="宋体"/>
                <w:color w:val="000000"/>
                <w:sz w:val="18"/>
                <w:szCs w:val="18"/>
              </w:rPr>
              <w:t>对重视不到位、推进不力或群众反映强烈的地方或行业领域，采取</w:t>
            </w:r>
            <w:r>
              <w:rPr>
                <w:rFonts w:hint="eastAsia" w:ascii="宋体" w:hAnsi="宋体" w:cs="宋体"/>
                <w:color w:val="000000"/>
                <w:sz w:val="18"/>
                <w:szCs w:val="18"/>
                <w:lang w:eastAsia="zh-CN"/>
              </w:rPr>
              <w:t>警示提醒、</w:t>
            </w:r>
            <w:r>
              <w:rPr>
                <w:rFonts w:hint="eastAsia" w:ascii="宋体" w:hAnsi="宋体" w:cs="宋体"/>
                <w:color w:val="000000"/>
                <w:sz w:val="18"/>
                <w:szCs w:val="18"/>
              </w:rPr>
              <w:t>约谈等方式推动工作落实。</w:t>
            </w:r>
          </w:p>
          <w:p w14:paraId="711DAD7E">
            <w:pPr>
              <w:widowControl/>
              <w:jc w:val="both"/>
              <w:rPr>
                <w:rFonts w:hint="eastAsia" w:ascii="宋体" w:hAnsi="宋体" w:cs="宋体"/>
                <w:color w:val="000000"/>
                <w:sz w:val="18"/>
                <w:szCs w:val="18"/>
              </w:rPr>
            </w:pPr>
          </w:p>
        </w:tc>
        <w:tc>
          <w:tcPr>
            <w:tcW w:w="1909" w:type="dxa"/>
            <w:noWrap w:val="0"/>
            <w:vAlign w:val="center"/>
          </w:tcPr>
          <w:p w14:paraId="762FEE54">
            <w:pPr>
              <w:widowControl/>
              <w:jc w:val="left"/>
              <w:rPr>
                <w:rFonts w:hint="eastAsia" w:ascii="宋体" w:hAnsi="宋体" w:cs="宋体"/>
                <w:color w:val="000000"/>
                <w:sz w:val="18"/>
                <w:szCs w:val="18"/>
              </w:rPr>
            </w:pPr>
            <w:r>
              <w:rPr>
                <w:rFonts w:hint="eastAsia" w:ascii="宋体" w:hAnsi="宋体" w:cs="宋体"/>
                <w:color w:val="000000"/>
                <w:sz w:val="18"/>
                <w:szCs w:val="18"/>
              </w:rPr>
              <w:t>无偏差</w:t>
            </w:r>
          </w:p>
        </w:tc>
      </w:tr>
      <w:tr w14:paraId="59C7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5A2ABBED">
            <w:pPr>
              <w:widowControl/>
              <w:jc w:val="left"/>
              <w:rPr>
                <w:rFonts w:ascii="宋体" w:hAnsi="宋体"/>
                <w:color w:val="000000"/>
                <w:kern w:val="0"/>
                <w:sz w:val="18"/>
                <w:szCs w:val="18"/>
              </w:rPr>
            </w:pPr>
          </w:p>
        </w:tc>
        <w:tc>
          <w:tcPr>
            <w:tcW w:w="847" w:type="dxa"/>
            <w:vMerge w:val="continue"/>
            <w:noWrap w:val="0"/>
            <w:vAlign w:val="center"/>
          </w:tcPr>
          <w:p w14:paraId="186B10FC">
            <w:pPr>
              <w:widowControl/>
              <w:jc w:val="left"/>
              <w:rPr>
                <w:rFonts w:ascii="宋体" w:hAnsi="宋体"/>
                <w:color w:val="000000"/>
                <w:kern w:val="0"/>
                <w:sz w:val="18"/>
                <w:szCs w:val="18"/>
              </w:rPr>
            </w:pPr>
          </w:p>
        </w:tc>
        <w:tc>
          <w:tcPr>
            <w:tcW w:w="1490" w:type="dxa"/>
            <w:gridSpan w:val="2"/>
            <w:noWrap w:val="0"/>
            <w:vAlign w:val="center"/>
          </w:tcPr>
          <w:p w14:paraId="451ED8D3">
            <w:pPr>
              <w:widowControl/>
              <w:jc w:val="center"/>
              <w:rPr>
                <w:rFonts w:ascii="宋体" w:hAnsi="宋体"/>
                <w:color w:val="000000"/>
                <w:kern w:val="0"/>
                <w:sz w:val="18"/>
                <w:szCs w:val="18"/>
              </w:rPr>
            </w:pPr>
            <w:r>
              <w:rPr>
                <w:rFonts w:ascii="宋体" w:hAnsi="宋体"/>
                <w:color w:val="000000"/>
                <w:kern w:val="0"/>
                <w:sz w:val="18"/>
                <w:szCs w:val="18"/>
              </w:rPr>
              <w:t>质量</w:t>
            </w:r>
          </w:p>
          <w:p w14:paraId="0ECA5E23">
            <w:pPr>
              <w:widowControl/>
              <w:jc w:val="center"/>
              <w:rPr>
                <w:rFonts w:ascii="宋体" w:hAnsi="宋体"/>
                <w:color w:val="000000"/>
                <w:kern w:val="0"/>
                <w:sz w:val="18"/>
                <w:szCs w:val="18"/>
              </w:rPr>
            </w:pPr>
            <w:r>
              <w:rPr>
                <w:rFonts w:ascii="宋体" w:hAnsi="宋体"/>
                <w:color w:val="000000"/>
                <w:kern w:val="0"/>
                <w:sz w:val="18"/>
                <w:szCs w:val="18"/>
              </w:rPr>
              <w:t>指标</w:t>
            </w:r>
          </w:p>
        </w:tc>
        <w:tc>
          <w:tcPr>
            <w:tcW w:w="849" w:type="dxa"/>
            <w:noWrap w:val="0"/>
            <w:vAlign w:val="center"/>
          </w:tcPr>
          <w:p w14:paraId="2D091A5C">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rPr>
              <w:t>完成</w:t>
            </w:r>
            <w:r>
              <w:rPr>
                <w:rFonts w:hint="eastAsia" w:ascii="宋体" w:hAnsi="宋体"/>
                <w:color w:val="000000"/>
                <w:kern w:val="0"/>
                <w:sz w:val="18"/>
                <w:szCs w:val="18"/>
                <w:lang w:val="en-US" w:eastAsia="zh-CN"/>
              </w:rPr>
              <w:t>2023年工作目标任务</w:t>
            </w:r>
          </w:p>
          <w:p w14:paraId="4D518694">
            <w:pPr>
              <w:widowControl/>
              <w:jc w:val="left"/>
              <w:rPr>
                <w:rFonts w:ascii="宋体" w:hAnsi="宋体" w:cs="宋体"/>
                <w:color w:val="000000"/>
                <w:kern w:val="0"/>
                <w:szCs w:val="22"/>
              </w:rPr>
            </w:pPr>
          </w:p>
        </w:tc>
        <w:tc>
          <w:tcPr>
            <w:tcW w:w="1422" w:type="dxa"/>
            <w:gridSpan w:val="2"/>
            <w:noWrap w:val="0"/>
            <w:vAlign w:val="center"/>
          </w:tcPr>
          <w:p w14:paraId="53815D76">
            <w:pPr>
              <w:widowControl/>
              <w:jc w:val="left"/>
              <w:rPr>
                <w:rFonts w:ascii="宋体" w:hAnsi="宋体"/>
                <w:color w:val="000000"/>
                <w:kern w:val="0"/>
                <w:sz w:val="18"/>
                <w:szCs w:val="18"/>
              </w:rPr>
            </w:pPr>
            <w:r>
              <w:rPr>
                <w:rFonts w:hint="eastAsia" w:ascii="宋体" w:hAnsi="宋体" w:cs="宋体"/>
                <w:color w:val="000000"/>
                <w:sz w:val="18"/>
                <w:szCs w:val="18"/>
                <w:lang w:eastAsia="zh-CN"/>
              </w:rPr>
              <w:t>高质量完成</w:t>
            </w:r>
            <w:r>
              <w:rPr>
                <w:rFonts w:hint="eastAsia" w:ascii="宋体" w:hAnsi="宋体" w:cs="宋体"/>
                <w:color w:val="000000"/>
                <w:sz w:val="18"/>
                <w:szCs w:val="18"/>
                <w:lang w:val="en-US" w:eastAsia="zh-CN"/>
              </w:rPr>
              <w:t>2023年扫黑除恶年度目标任务</w:t>
            </w:r>
            <w:r>
              <w:rPr>
                <w:rFonts w:hint="eastAsia" w:ascii="宋体" w:hAnsi="宋体" w:cs="宋体"/>
                <w:color w:val="000000"/>
                <w:sz w:val="18"/>
                <w:szCs w:val="18"/>
              </w:rPr>
              <w:t>。</w:t>
            </w:r>
          </w:p>
        </w:tc>
        <w:tc>
          <w:tcPr>
            <w:tcW w:w="1559" w:type="dxa"/>
            <w:noWrap w:val="0"/>
            <w:vAlign w:val="center"/>
          </w:tcPr>
          <w:p w14:paraId="1F7184BB">
            <w:pPr>
              <w:widowControl/>
              <w:jc w:val="both"/>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一是全方位、多层级、多角度、全覆盖开展《反有组织犯罪法》宣传贯彻，受教干部群众近</w:t>
            </w:r>
            <w:r>
              <w:rPr>
                <w:rFonts w:hint="eastAsia" w:ascii="宋体" w:hAnsi="宋体"/>
                <w:color w:val="000000"/>
                <w:kern w:val="0"/>
                <w:sz w:val="18"/>
                <w:szCs w:val="18"/>
                <w:lang w:val="en-US" w:eastAsia="zh-CN"/>
              </w:rPr>
              <w:t>100万人次，扫黑除恶更加深入人心。二是收集各类线索51条，立涉黑案件1件，实现常态化以来涉黑案件办理“零”突破；办理恶势力组织案件4件，九类涉恶案件120件，强力震慑涉黑恶犯罪。查处涉黑恶腐败和“保护伞”13人，排查整治软弱涣散村（社区）党组织,推动119个整顿对象转化提升。执行涉黑恶财产到位338.77万元，执行到位率36.99%。三是抓实重点行业领域问题整治，发出“三书一函”49份，整改回复率100%。我市常态化扫黑除恶斗争持续走在全省前列，先后接受省委第四巡视组对上轮巡视反馈问题整改“回头看”和省扫黑除恶第6督导组对常态化扫黑除恶斗争的检查验收，受到省扫黑除恶第6督导组领导一致好评。</w:t>
            </w:r>
          </w:p>
        </w:tc>
        <w:tc>
          <w:tcPr>
            <w:tcW w:w="1909" w:type="dxa"/>
            <w:noWrap w:val="0"/>
            <w:vAlign w:val="center"/>
          </w:tcPr>
          <w:p w14:paraId="6E834B4A">
            <w:pPr>
              <w:widowControl/>
              <w:jc w:val="left"/>
              <w:rPr>
                <w:rFonts w:ascii="宋体" w:hAnsi="宋体"/>
                <w:color w:val="000000"/>
                <w:kern w:val="0"/>
                <w:sz w:val="18"/>
                <w:szCs w:val="18"/>
              </w:rPr>
            </w:pPr>
            <w:r>
              <w:rPr>
                <w:rFonts w:hint="eastAsia" w:ascii="宋体" w:hAnsi="宋体"/>
                <w:color w:val="000000"/>
                <w:kern w:val="0"/>
                <w:sz w:val="18"/>
                <w:szCs w:val="18"/>
              </w:rPr>
              <w:t>无偏差</w:t>
            </w:r>
          </w:p>
        </w:tc>
      </w:tr>
      <w:tr w14:paraId="3D97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486FD1F1">
            <w:pPr>
              <w:widowControl/>
              <w:jc w:val="left"/>
              <w:rPr>
                <w:rFonts w:ascii="宋体" w:hAnsi="宋体"/>
                <w:color w:val="000000"/>
                <w:kern w:val="0"/>
                <w:sz w:val="18"/>
                <w:szCs w:val="18"/>
              </w:rPr>
            </w:pPr>
          </w:p>
        </w:tc>
        <w:tc>
          <w:tcPr>
            <w:tcW w:w="847" w:type="dxa"/>
            <w:vMerge w:val="continue"/>
            <w:noWrap w:val="0"/>
            <w:vAlign w:val="center"/>
          </w:tcPr>
          <w:p w14:paraId="5F295E8A">
            <w:pPr>
              <w:widowControl/>
              <w:jc w:val="left"/>
              <w:rPr>
                <w:rFonts w:ascii="宋体" w:hAnsi="宋体"/>
                <w:color w:val="000000"/>
                <w:kern w:val="0"/>
                <w:sz w:val="18"/>
                <w:szCs w:val="18"/>
              </w:rPr>
            </w:pPr>
          </w:p>
        </w:tc>
        <w:tc>
          <w:tcPr>
            <w:tcW w:w="1490" w:type="dxa"/>
            <w:gridSpan w:val="2"/>
            <w:noWrap w:val="0"/>
            <w:vAlign w:val="center"/>
          </w:tcPr>
          <w:p w14:paraId="1E544D50">
            <w:pPr>
              <w:widowControl/>
              <w:jc w:val="center"/>
              <w:rPr>
                <w:rFonts w:ascii="宋体" w:hAnsi="宋体"/>
                <w:color w:val="000000"/>
                <w:kern w:val="0"/>
                <w:sz w:val="18"/>
                <w:szCs w:val="18"/>
              </w:rPr>
            </w:pPr>
            <w:r>
              <w:rPr>
                <w:rFonts w:ascii="宋体" w:hAnsi="宋体"/>
                <w:color w:val="000000"/>
                <w:kern w:val="0"/>
                <w:sz w:val="18"/>
                <w:szCs w:val="18"/>
              </w:rPr>
              <w:t>时效</w:t>
            </w:r>
          </w:p>
          <w:p w14:paraId="4AE89B71">
            <w:pPr>
              <w:widowControl/>
              <w:jc w:val="center"/>
              <w:rPr>
                <w:rFonts w:ascii="宋体" w:hAnsi="宋体"/>
                <w:color w:val="000000"/>
                <w:kern w:val="0"/>
                <w:sz w:val="18"/>
                <w:szCs w:val="18"/>
              </w:rPr>
            </w:pPr>
            <w:r>
              <w:rPr>
                <w:rFonts w:ascii="宋体" w:hAnsi="宋体"/>
                <w:color w:val="000000"/>
                <w:kern w:val="0"/>
                <w:sz w:val="18"/>
                <w:szCs w:val="18"/>
              </w:rPr>
              <w:t>指标</w:t>
            </w:r>
          </w:p>
        </w:tc>
        <w:tc>
          <w:tcPr>
            <w:tcW w:w="849" w:type="dxa"/>
            <w:noWrap w:val="0"/>
            <w:vAlign w:val="center"/>
          </w:tcPr>
          <w:p w14:paraId="7D51287E">
            <w:pPr>
              <w:widowControl/>
              <w:jc w:val="left"/>
              <w:rPr>
                <w:rFonts w:ascii="宋体" w:hAnsi="宋体"/>
                <w:color w:val="000000"/>
                <w:kern w:val="0"/>
                <w:sz w:val="18"/>
                <w:szCs w:val="18"/>
              </w:rPr>
            </w:pPr>
            <w:r>
              <w:rPr>
                <w:rFonts w:hint="eastAsia" w:ascii="宋体" w:hAnsi="宋体"/>
                <w:color w:val="000000"/>
                <w:kern w:val="0"/>
                <w:sz w:val="18"/>
                <w:szCs w:val="18"/>
              </w:rPr>
              <w:t>完成202</w:t>
            </w:r>
            <w:r>
              <w:rPr>
                <w:rFonts w:hint="eastAsia" w:ascii="宋体" w:hAnsi="宋体"/>
                <w:color w:val="000000"/>
                <w:kern w:val="0"/>
                <w:sz w:val="18"/>
                <w:szCs w:val="18"/>
                <w:lang w:val="en-US" w:eastAsia="zh-CN"/>
              </w:rPr>
              <w:t>3</w:t>
            </w:r>
            <w:r>
              <w:rPr>
                <w:rFonts w:hint="eastAsia" w:ascii="宋体" w:hAnsi="宋体"/>
                <w:color w:val="000000"/>
                <w:kern w:val="0"/>
                <w:sz w:val="18"/>
                <w:szCs w:val="18"/>
              </w:rPr>
              <w:t>年工作目标任务</w:t>
            </w:r>
          </w:p>
        </w:tc>
        <w:tc>
          <w:tcPr>
            <w:tcW w:w="1422" w:type="dxa"/>
            <w:gridSpan w:val="2"/>
            <w:noWrap w:val="0"/>
            <w:vAlign w:val="center"/>
          </w:tcPr>
          <w:p w14:paraId="7CEE49BC">
            <w:pPr>
              <w:widowControl/>
              <w:jc w:val="left"/>
              <w:rPr>
                <w:rFonts w:ascii="宋体" w:hAnsi="宋体"/>
                <w:color w:val="000000"/>
                <w:kern w:val="0"/>
                <w:sz w:val="18"/>
                <w:szCs w:val="18"/>
              </w:rPr>
            </w:pPr>
            <w:r>
              <w:rPr>
                <w:rFonts w:hint="eastAsia" w:ascii="宋体" w:hAnsi="宋体"/>
                <w:color w:val="000000"/>
                <w:kern w:val="0"/>
                <w:sz w:val="18"/>
                <w:szCs w:val="18"/>
                <w:lang w:eastAsia="zh-CN"/>
              </w:rPr>
              <w:t>按时</w:t>
            </w:r>
            <w:r>
              <w:rPr>
                <w:rFonts w:hint="eastAsia" w:ascii="宋体" w:hAnsi="宋体"/>
                <w:color w:val="000000"/>
                <w:kern w:val="0"/>
                <w:sz w:val="18"/>
                <w:szCs w:val="18"/>
              </w:rPr>
              <w:t>完成202</w:t>
            </w:r>
            <w:r>
              <w:rPr>
                <w:rFonts w:hint="eastAsia" w:ascii="宋体" w:hAnsi="宋体"/>
                <w:color w:val="000000"/>
                <w:kern w:val="0"/>
                <w:sz w:val="18"/>
                <w:szCs w:val="18"/>
                <w:lang w:val="en-US" w:eastAsia="zh-CN"/>
              </w:rPr>
              <w:t>3</w:t>
            </w:r>
            <w:r>
              <w:rPr>
                <w:rFonts w:hint="eastAsia" w:ascii="宋体" w:hAnsi="宋体"/>
                <w:color w:val="000000"/>
                <w:kern w:val="0"/>
                <w:sz w:val="18"/>
                <w:szCs w:val="18"/>
              </w:rPr>
              <w:t>作目标任务。</w:t>
            </w:r>
          </w:p>
        </w:tc>
        <w:tc>
          <w:tcPr>
            <w:tcW w:w="1559" w:type="dxa"/>
            <w:noWrap w:val="0"/>
            <w:vAlign w:val="center"/>
          </w:tcPr>
          <w:p w14:paraId="0095E581">
            <w:pPr>
              <w:widowControl/>
              <w:jc w:val="both"/>
              <w:rPr>
                <w:rFonts w:ascii="宋体" w:hAnsi="宋体"/>
                <w:color w:val="000000"/>
                <w:kern w:val="0"/>
                <w:sz w:val="18"/>
                <w:szCs w:val="18"/>
              </w:rPr>
            </w:pPr>
            <w:r>
              <w:rPr>
                <w:rFonts w:hint="eastAsia" w:ascii="宋体" w:hAnsi="宋体"/>
                <w:color w:val="000000"/>
                <w:kern w:val="0"/>
                <w:sz w:val="18"/>
                <w:szCs w:val="18"/>
                <w:lang w:eastAsia="zh-CN"/>
              </w:rPr>
              <w:t>及时部署安排，跟踪督促强力推动。持续深化《反有组织犯罪法》的宣传贯彻，依法严打涉黑恶违法犯罪，强力“打伞破网”“打财断血”，做到线索全结、案件全破。着力推进</w:t>
            </w:r>
            <w:r>
              <w:rPr>
                <w:rFonts w:hint="eastAsia" w:ascii="宋体" w:hAnsi="宋体"/>
                <w:color w:val="000000"/>
                <w:kern w:val="0"/>
                <w:sz w:val="18"/>
                <w:szCs w:val="18"/>
                <w:lang w:val="en-US" w:eastAsia="zh-CN"/>
              </w:rPr>
              <w:t>重点行业领域问题整治，均在规定时限圆满完成2023年度部署的扫黑除恶各项</w:t>
            </w:r>
            <w:r>
              <w:rPr>
                <w:rFonts w:hint="eastAsia" w:ascii="宋体" w:hAnsi="宋体"/>
                <w:color w:val="000000"/>
                <w:kern w:val="0"/>
                <w:sz w:val="18"/>
                <w:szCs w:val="18"/>
              </w:rPr>
              <w:t>目标</w:t>
            </w:r>
            <w:r>
              <w:rPr>
                <w:rFonts w:hint="eastAsia" w:ascii="宋体" w:hAnsi="宋体"/>
                <w:color w:val="000000"/>
                <w:kern w:val="0"/>
                <w:sz w:val="18"/>
                <w:szCs w:val="18"/>
                <w:lang w:eastAsia="zh-CN"/>
              </w:rPr>
              <w:t>任务</w:t>
            </w:r>
            <w:r>
              <w:rPr>
                <w:rFonts w:hint="eastAsia" w:ascii="宋体" w:hAnsi="宋体"/>
                <w:color w:val="000000"/>
                <w:kern w:val="0"/>
                <w:sz w:val="18"/>
                <w:szCs w:val="18"/>
              </w:rPr>
              <w:t>。</w:t>
            </w:r>
          </w:p>
        </w:tc>
        <w:tc>
          <w:tcPr>
            <w:tcW w:w="1909" w:type="dxa"/>
            <w:noWrap w:val="0"/>
            <w:vAlign w:val="center"/>
          </w:tcPr>
          <w:p w14:paraId="7CF821E4">
            <w:pPr>
              <w:widowControl/>
              <w:jc w:val="left"/>
              <w:rPr>
                <w:rFonts w:ascii="宋体" w:hAnsi="宋体"/>
                <w:color w:val="000000"/>
                <w:kern w:val="0"/>
                <w:sz w:val="18"/>
                <w:szCs w:val="18"/>
              </w:rPr>
            </w:pPr>
            <w:r>
              <w:rPr>
                <w:rFonts w:hint="eastAsia" w:ascii="宋体" w:hAnsi="宋体"/>
                <w:color w:val="000000"/>
                <w:kern w:val="0"/>
                <w:sz w:val="18"/>
                <w:szCs w:val="18"/>
              </w:rPr>
              <w:t>无偏差</w:t>
            </w:r>
          </w:p>
        </w:tc>
      </w:tr>
      <w:tr w14:paraId="5E74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4145A170">
            <w:pPr>
              <w:widowControl/>
              <w:jc w:val="left"/>
              <w:rPr>
                <w:rFonts w:ascii="宋体" w:hAnsi="宋体"/>
                <w:color w:val="000000"/>
                <w:kern w:val="0"/>
                <w:sz w:val="18"/>
                <w:szCs w:val="18"/>
              </w:rPr>
            </w:pPr>
          </w:p>
        </w:tc>
        <w:tc>
          <w:tcPr>
            <w:tcW w:w="847" w:type="dxa"/>
            <w:vMerge w:val="continue"/>
            <w:noWrap w:val="0"/>
            <w:vAlign w:val="center"/>
          </w:tcPr>
          <w:p w14:paraId="32A76F09">
            <w:pPr>
              <w:widowControl/>
              <w:jc w:val="left"/>
              <w:rPr>
                <w:rFonts w:ascii="宋体" w:hAnsi="宋体"/>
                <w:color w:val="000000"/>
                <w:kern w:val="0"/>
                <w:sz w:val="18"/>
                <w:szCs w:val="18"/>
              </w:rPr>
            </w:pPr>
          </w:p>
        </w:tc>
        <w:tc>
          <w:tcPr>
            <w:tcW w:w="1490" w:type="dxa"/>
            <w:gridSpan w:val="2"/>
            <w:noWrap w:val="0"/>
            <w:vAlign w:val="center"/>
          </w:tcPr>
          <w:p w14:paraId="4850F3BC">
            <w:pPr>
              <w:widowControl/>
              <w:jc w:val="center"/>
              <w:rPr>
                <w:rFonts w:ascii="宋体" w:hAnsi="宋体"/>
                <w:color w:val="000000"/>
                <w:kern w:val="0"/>
                <w:sz w:val="18"/>
                <w:szCs w:val="18"/>
              </w:rPr>
            </w:pPr>
            <w:r>
              <w:rPr>
                <w:rFonts w:ascii="宋体" w:hAnsi="宋体"/>
                <w:color w:val="000000"/>
                <w:kern w:val="0"/>
                <w:sz w:val="18"/>
                <w:szCs w:val="18"/>
              </w:rPr>
              <w:t>成本</w:t>
            </w:r>
          </w:p>
          <w:p w14:paraId="731112DF">
            <w:pPr>
              <w:widowControl/>
              <w:jc w:val="center"/>
              <w:rPr>
                <w:rFonts w:ascii="宋体" w:hAnsi="宋体"/>
                <w:color w:val="000000"/>
                <w:kern w:val="0"/>
                <w:sz w:val="18"/>
                <w:szCs w:val="18"/>
              </w:rPr>
            </w:pPr>
            <w:r>
              <w:rPr>
                <w:rFonts w:ascii="宋体" w:hAnsi="宋体"/>
                <w:color w:val="000000"/>
                <w:kern w:val="0"/>
                <w:sz w:val="18"/>
                <w:szCs w:val="18"/>
              </w:rPr>
              <w:t>指标</w:t>
            </w:r>
          </w:p>
        </w:tc>
        <w:tc>
          <w:tcPr>
            <w:tcW w:w="849" w:type="dxa"/>
            <w:noWrap w:val="0"/>
            <w:vAlign w:val="center"/>
          </w:tcPr>
          <w:p w14:paraId="0818878D">
            <w:pPr>
              <w:widowControl/>
              <w:jc w:val="left"/>
              <w:rPr>
                <w:rFonts w:ascii="宋体" w:hAnsi="宋体"/>
                <w:color w:val="000000"/>
                <w:kern w:val="0"/>
                <w:sz w:val="18"/>
                <w:szCs w:val="18"/>
              </w:rPr>
            </w:pPr>
            <w:r>
              <w:rPr>
                <w:rFonts w:hint="eastAsia" w:ascii="宋体" w:hAnsi="宋体"/>
                <w:color w:val="000000"/>
                <w:kern w:val="0"/>
                <w:sz w:val="18"/>
                <w:szCs w:val="18"/>
              </w:rPr>
              <w:t>工作经费情况</w:t>
            </w:r>
          </w:p>
        </w:tc>
        <w:tc>
          <w:tcPr>
            <w:tcW w:w="1422" w:type="dxa"/>
            <w:gridSpan w:val="2"/>
            <w:noWrap w:val="0"/>
            <w:vAlign w:val="center"/>
          </w:tcPr>
          <w:p w14:paraId="06D7886C">
            <w:pPr>
              <w:widowControl/>
              <w:jc w:val="left"/>
              <w:rPr>
                <w:rFonts w:ascii="宋体" w:hAnsi="宋体"/>
                <w:color w:val="000000"/>
                <w:kern w:val="0"/>
                <w:sz w:val="18"/>
                <w:szCs w:val="18"/>
              </w:rPr>
            </w:pPr>
            <w:r>
              <w:rPr>
                <w:rFonts w:hint="eastAsia" w:ascii="宋体" w:hAnsi="宋体"/>
                <w:color w:val="000000"/>
                <w:kern w:val="0"/>
                <w:sz w:val="18"/>
                <w:szCs w:val="18"/>
              </w:rPr>
              <w:t>202</w:t>
            </w:r>
            <w:r>
              <w:rPr>
                <w:rFonts w:hint="eastAsia" w:ascii="宋体" w:hAnsi="宋体"/>
                <w:color w:val="000000"/>
                <w:kern w:val="0"/>
                <w:sz w:val="18"/>
                <w:szCs w:val="18"/>
                <w:lang w:val="en-US" w:eastAsia="zh-CN"/>
              </w:rPr>
              <w:t>3</w:t>
            </w:r>
            <w:r>
              <w:rPr>
                <w:rFonts w:hint="eastAsia" w:ascii="宋体" w:hAnsi="宋体"/>
                <w:color w:val="000000"/>
                <w:kern w:val="0"/>
                <w:sz w:val="18"/>
                <w:szCs w:val="18"/>
              </w:rPr>
              <w:t>年预算</w:t>
            </w:r>
            <w:r>
              <w:rPr>
                <w:rFonts w:hint="eastAsia" w:ascii="宋体" w:hAnsi="宋体"/>
                <w:color w:val="000000"/>
                <w:kern w:val="0"/>
                <w:sz w:val="18"/>
                <w:szCs w:val="18"/>
                <w:lang w:val="en-US" w:eastAsia="zh-CN"/>
              </w:rPr>
              <w:t>20</w:t>
            </w:r>
            <w:r>
              <w:rPr>
                <w:rFonts w:hint="eastAsia" w:ascii="宋体" w:hAnsi="宋体"/>
                <w:color w:val="000000"/>
                <w:kern w:val="0"/>
                <w:sz w:val="18"/>
                <w:szCs w:val="18"/>
              </w:rPr>
              <w:t>万元工作经费，保障扫黑除恶斗争工作有序开展。</w:t>
            </w:r>
          </w:p>
        </w:tc>
        <w:tc>
          <w:tcPr>
            <w:tcW w:w="1559" w:type="dxa"/>
            <w:noWrap w:val="0"/>
            <w:vAlign w:val="center"/>
          </w:tcPr>
          <w:p w14:paraId="7E6EAE2C">
            <w:pPr>
              <w:widowControl/>
              <w:jc w:val="both"/>
              <w:rPr>
                <w:rFonts w:ascii="宋体" w:hAnsi="宋体"/>
                <w:color w:val="000000"/>
                <w:kern w:val="0"/>
                <w:sz w:val="18"/>
                <w:szCs w:val="18"/>
              </w:rPr>
            </w:pPr>
            <w:r>
              <w:rPr>
                <w:rFonts w:hint="eastAsia" w:ascii="宋体" w:hAnsi="宋体"/>
                <w:color w:val="000000"/>
                <w:kern w:val="0"/>
                <w:sz w:val="18"/>
                <w:szCs w:val="18"/>
              </w:rPr>
              <w:t>认真执行扫黑除恶专项资金分配管理规定，根据扫黑除恶斗争工作开展需要，合理分配，统筹安排，主要用于</w:t>
            </w:r>
            <w:r>
              <w:rPr>
                <w:rFonts w:hint="eastAsia" w:ascii="宋体" w:hAnsi="宋体"/>
                <w:color w:val="000000"/>
                <w:kern w:val="0"/>
                <w:sz w:val="18"/>
                <w:szCs w:val="18"/>
                <w:lang w:eastAsia="zh-CN"/>
              </w:rPr>
              <w:t>常态化</w:t>
            </w:r>
            <w:r>
              <w:rPr>
                <w:rFonts w:hint="eastAsia" w:ascii="宋体" w:hAnsi="宋体"/>
                <w:color w:val="000000"/>
                <w:kern w:val="0"/>
                <w:sz w:val="18"/>
                <w:szCs w:val="18"/>
              </w:rPr>
              <w:t>扫黑除恶斗争宣传</w:t>
            </w:r>
            <w:r>
              <w:rPr>
                <w:rFonts w:hint="eastAsia" w:ascii="宋体" w:hAnsi="宋体"/>
                <w:color w:val="000000"/>
                <w:kern w:val="0"/>
                <w:sz w:val="18"/>
                <w:szCs w:val="18"/>
                <w:lang w:eastAsia="zh-CN"/>
              </w:rPr>
              <w:t>培训</w:t>
            </w:r>
            <w:r>
              <w:rPr>
                <w:rFonts w:hint="eastAsia" w:ascii="宋体" w:hAnsi="宋体"/>
                <w:color w:val="000000"/>
                <w:kern w:val="0"/>
                <w:sz w:val="18"/>
                <w:szCs w:val="18"/>
              </w:rPr>
              <w:t>费、办公费、会议费、差旅费等，以确保工作资金需求，确保了扫黑除恶斗争工作顺利开展。</w:t>
            </w:r>
          </w:p>
        </w:tc>
        <w:tc>
          <w:tcPr>
            <w:tcW w:w="1909" w:type="dxa"/>
            <w:noWrap w:val="0"/>
            <w:vAlign w:val="center"/>
          </w:tcPr>
          <w:p w14:paraId="70D12549">
            <w:pPr>
              <w:widowControl/>
              <w:jc w:val="left"/>
              <w:rPr>
                <w:rFonts w:ascii="宋体" w:hAnsi="宋体"/>
                <w:color w:val="000000"/>
                <w:kern w:val="0"/>
                <w:sz w:val="18"/>
                <w:szCs w:val="18"/>
              </w:rPr>
            </w:pPr>
            <w:r>
              <w:rPr>
                <w:rFonts w:hint="eastAsia" w:ascii="宋体" w:hAnsi="宋体"/>
                <w:color w:val="000000"/>
                <w:kern w:val="0"/>
                <w:sz w:val="18"/>
                <w:szCs w:val="18"/>
              </w:rPr>
              <w:t>无偏差</w:t>
            </w:r>
          </w:p>
        </w:tc>
      </w:tr>
      <w:tr w14:paraId="68DE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trPr>
        <w:tc>
          <w:tcPr>
            <w:tcW w:w="894" w:type="dxa"/>
            <w:vMerge w:val="restart"/>
            <w:noWrap w:val="0"/>
            <w:vAlign w:val="center"/>
          </w:tcPr>
          <w:p w14:paraId="6E8E1F43">
            <w:pPr>
              <w:jc w:val="center"/>
              <w:rPr>
                <w:rFonts w:ascii="宋体" w:hAnsi="宋体"/>
                <w:color w:val="000000"/>
                <w:kern w:val="0"/>
                <w:sz w:val="18"/>
                <w:szCs w:val="18"/>
              </w:rPr>
            </w:pPr>
            <w:r>
              <w:rPr>
                <w:rFonts w:ascii="宋体" w:hAnsi="宋体"/>
                <w:color w:val="000000"/>
                <w:kern w:val="0"/>
                <w:sz w:val="18"/>
                <w:szCs w:val="18"/>
              </w:rPr>
              <w:t>年度绩效指标</w:t>
            </w:r>
          </w:p>
        </w:tc>
        <w:tc>
          <w:tcPr>
            <w:tcW w:w="847" w:type="dxa"/>
            <w:noWrap w:val="0"/>
            <w:vAlign w:val="center"/>
          </w:tcPr>
          <w:p w14:paraId="559EF84F">
            <w:pPr>
              <w:widowControl/>
              <w:jc w:val="center"/>
              <w:rPr>
                <w:rFonts w:ascii="宋体" w:hAnsi="宋体"/>
                <w:color w:val="000000"/>
                <w:kern w:val="0"/>
                <w:sz w:val="18"/>
                <w:szCs w:val="18"/>
              </w:rPr>
            </w:pPr>
            <w:r>
              <w:rPr>
                <w:rFonts w:ascii="宋体" w:hAnsi="宋体"/>
                <w:color w:val="000000"/>
                <w:kern w:val="0"/>
                <w:sz w:val="18"/>
                <w:szCs w:val="18"/>
              </w:rPr>
              <w:t>项目</w:t>
            </w:r>
          </w:p>
          <w:p w14:paraId="53166A06">
            <w:pPr>
              <w:widowControl/>
              <w:jc w:val="center"/>
              <w:rPr>
                <w:rFonts w:ascii="宋体" w:hAnsi="宋体"/>
                <w:color w:val="000000"/>
                <w:kern w:val="0"/>
                <w:sz w:val="18"/>
                <w:szCs w:val="18"/>
              </w:rPr>
            </w:pPr>
            <w:r>
              <w:rPr>
                <w:rFonts w:ascii="宋体" w:hAnsi="宋体"/>
                <w:color w:val="000000"/>
                <w:kern w:val="0"/>
                <w:sz w:val="18"/>
                <w:szCs w:val="18"/>
              </w:rPr>
              <w:t>效益</w:t>
            </w:r>
          </w:p>
        </w:tc>
        <w:tc>
          <w:tcPr>
            <w:tcW w:w="1490" w:type="dxa"/>
            <w:gridSpan w:val="2"/>
            <w:noWrap w:val="0"/>
            <w:vAlign w:val="center"/>
          </w:tcPr>
          <w:p w14:paraId="5B184F8B">
            <w:pPr>
              <w:jc w:val="center"/>
              <w:rPr>
                <w:rFonts w:ascii="宋体" w:hAnsi="宋体"/>
                <w:color w:val="000000"/>
                <w:kern w:val="0"/>
                <w:sz w:val="18"/>
                <w:szCs w:val="18"/>
              </w:rPr>
            </w:pPr>
            <w:r>
              <w:rPr>
                <w:rFonts w:ascii="宋体" w:hAnsi="宋体"/>
                <w:color w:val="000000"/>
                <w:kern w:val="0"/>
                <w:sz w:val="18"/>
                <w:szCs w:val="18"/>
              </w:rPr>
              <w:t>社会效益指标</w:t>
            </w:r>
          </w:p>
        </w:tc>
        <w:tc>
          <w:tcPr>
            <w:tcW w:w="849" w:type="dxa"/>
            <w:noWrap w:val="0"/>
            <w:vAlign w:val="center"/>
          </w:tcPr>
          <w:p w14:paraId="31DC282F">
            <w:pPr>
              <w:jc w:val="left"/>
              <w:rPr>
                <w:rFonts w:ascii="宋体" w:hAnsi="宋体"/>
                <w:color w:val="000000"/>
                <w:kern w:val="0"/>
                <w:sz w:val="18"/>
                <w:szCs w:val="18"/>
              </w:rPr>
            </w:pPr>
            <w:r>
              <w:rPr>
                <w:rFonts w:hint="eastAsia" w:ascii="宋体" w:hAnsi="宋体"/>
                <w:color w:val="000000"/>
                <w:kern w:val="0"/>
                <w:sz w:val="18"/>
                <w:szCs w:val="18"/>
              </w:rPr>
              <w:t>扫黑除恶的促进作用</w:t>
            </w:r>
          </w:p>
        </w:tc>
        <w:tc>
          <w:tcPr>
            <w:tcW w:w="1422" w:type="dxa"/>
            <w:gridSpan w:val="2"/>
            <w:noWrap w:val="0"/>
            <w:vAlign w:val="center"/>
          </w:tcPr>
          <w:p w14:paraId="29B2FA58">
            <w:pPr>
              <w:jc w:val="left"/>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有效发动广大干部群众积极参与扫黑除恶斗争</w:t>
            </w:r>
          </w:p>
        </w:tc>
        <w:tc>
          <w:tcPr>
            <w:tcW w:w="1559" w:type="dxa"/>
            <w:noWrap w:val="0"/>
            <w:vAlign w:val="center"/>
          </w:tcPr>
          <w:p w14:paraId="0517D4B6">
            <w:pPr>
              <w:adjustRightInd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一是</w:t>
            </w:r>
            <w:r>
              <w:rPr>
                <w:rFonts w:hint="eastAsia" w:ascii="宋体" w:hAnsi="宋体" w:cs="宋体"/>
                <w:color w:val="000000"/>
                <w:sz w:val="18"/>
                <w:szCs w:val="18"/>
              </w:rPr>
              <w:t>利用微信朋友圈、公众号、微博等</w:t>
            </w:r>
            <w:r>
              <w:rPr>
                <w:rFonts w:hint="eastAsia" w:ascii="宋体" w:hAnsi="宋体" w:cs="宋体"/>
                <w:color w:val="000000"/>
                <w:sz w:val="18"/>
                <w:szCs w:val="18"/>
                <w:lang w:eastAsia="zh-CN"/>
              </w:rPr>
              <w:t>新型媒体</w:t>
            </w:r>
            <w:r>
              <w:rPr>
                <w:rFonts w:hint="eastAsia" w:ascii="宋体" w:hAnsi="宋体" w:cs="宋体"/>
                <w:color w:val="000000"/>
                <w:sz w:val="18"/>
                <w:szCs w:val="18"/>
              </w:rPr>
              <w:t>宣传方式</w:t>
            </w:r>
            <w:r>
              <w:rPr>
                <w:rFonts w:hint="eastAsia" w:ascii="宋体" w:hAnsi="宋体" w:cs="宋体"/>
                <w:color w:val="000000"/>
                <w:sz w:val="18"/>
                <w:szCs w:val="18"/>
                <w:lang w:eastAsia="zh-CN"/>
              </w:rPr>
              <w:t>和利用标语、</w:t>
            </w:r>
            <w:r>
              <w:rPr>
                <w:rFonts w:hint="eastAsia" w:ascii="宋体" w:hAnsi="宋体" w:cs="宋体"/>
                <w:color w:val="000000"/>
                <w:sz w:val="18"/>
                <w:szCs w:val="18"/>
              </w:rPr>
              <w:t>广告牌、LED</w:t>
            </w:r>
            <w:r>
              <w:rPr>
                <w:rFonts w:hint="eastAsia" w:ascii="宋体" w:hAnsi="宋体" w:cs="宋体"/>
                <w:color w:val="000000"/>
                <w:sz w:val="18"/>
                <w:szCs w:val="18"/>
                <w:lang w:eastAsia="zh-CN"/>
              </w:rPr>
              <w:t>显示</w:t>
            </w:r>
            <w:r>
              <w:rPr>
                <w:rFonts w:hint="eastAsia" w:ascii="宋体" w:hAnsi="宋体" w:cs="宋体"/>
                <w:color w:val="000000"/>
                <w:sz w:val="18"/>
                <w:szCs w:val="18"/>
              </w:rPr>
              <w:t>屏、宣传橱窗、法制宣传长廊等</w:t>
            </w:r>
            <w:r>
              <w:rPr>
                <w:rFonts w:hint="eastAsia" w:ascii="宋体" w:hAnsi="宋体" w:cs="宋体"/>
                <w:color w:val="000000"/>
                <w:sz w:val="18"/>
                <w:szCs w:val="18"/>
                <w:lang w:eastAsia="zh-CN"/>
              </w:rPr>
              <w:t>传统宣传方式相结合</w:t>
            </w:r>
            <w:r>
              <w:rPr>
                <w:rFonts w:hint="eastAsia" w:ascii="宋体" w:hAnsi="宋体" w:cs="宋体"/>
                <w:color w:val="000000"/>
                <w:sz w:val="18"/>
                <w:szCs w:val="18"/>
              </w:rPr>
              <w:t>，大力宣传常态化扫黑除恶斗争的重大意义、重大部署、重大战果，彰显国家“除恶务尽”的决心，持续营造强大舆论氛围。二是</w:t>
            </w:r>
            <w:r>
              <w:rPr>
                <w:rFonts w:hint="eastAsia" w:ascii="宋体" w:hAnsi="宋体" w:cs="宋体"/>
                <w:color w:val="000000"/>
                <w:sz w:val="18"/>
                <w:szCs w:val="18"/>
                <w:lang w:eastAsia="zh-CN"/>
              </w:rPr>
              <w:t>充分依靠基层干部、网格员、志愿者等力量，开展扫黑除恶宣传进乡村、进社区，采取办讲座、一对一等方式，覆盖群众近</w:t>
            </w:r>
            <w:r>
              <w:rPr>
                <w:rFonts w:hint="eastAsia" w:ascii="宋体" w:hAnsi="宋体" w:cs="宋体"/>
                <w:color w:val="000000"/>
                <w:sz w:val="18"/>
                <w:szCs w:val="18"/>
                <w:lang w:val="en-US" w:eastAsia="zh-CN"/>
              </w:rPr>
              <w:t>100万人次。</w:t>
            </w:r>
            <w:r>
              <w:rPr>
                <w:rFonts w:hint="eastAsia" w:ascii="宋体" w:hAnsi="宋体" w:cs="宋体"/>
                <w:color w:val="000000"/>
                <w:sz w:val="18"/>
                <w:szCs w:val="18"/>
              </w:rPr>
              <w:t>三是始终依靠和发动群众参与扫黑除恶工作。</w:t>
            </w:r>
            <w:r>
              <w:rPr>
                <w:rFonts w:hint="eastAsia" w:ascii="宋体" w:hAnsi="宋体" w:cs="宋体"/>
                <w:color w:val="000000"/>
                <w:sz w:val="18"/>
                <w:szCs w:val="18"/>
                <w:lang w:eastAsia="zh-CN"/>
              </w:rPr>
              <w:t>市县两级扫黑办进一步公开举报方式</w:t>
            </w:r>
            <w:r>
              <w:rPr>
                <w:rFonts w:hint="eastAsia" w:ascii="宋体" w:hAnsi="宋体" w:cs="宋体"/>
                <w:color w:val="000000"/>
                <w:sz w:val="18"/>
                <w:szCs w:val="18"/>
              </w:rPr>
              <w:t>，</w:t>
            </w:r>
            <w:r>
              <w:rPr>
                <w:rFonts w:hint="eastAsia" w:ascii="宋体" w:hAnsi="宋体" w:cs="宋体"/>
                <w:color w:val="000000"/>
                <w:sz w:val="18"/>
                <w:szCs w:val="18"/>
                <w:lang w:eastAsia="zh-CN"/>
              </w:rPr>
              <w:t>灵通举报渠道，积极发动群众、依靠群众</w:t>
            </w:r>
            <w:r>
              <w:rPr>
                <w:rFonts w:hint="eastAsia" w:ascii="宋体" w:hAnsi="宋体" w:cs="宋体"/>
                <w:color w:val="000000"/>
                <w:sz w:val="18"/>
                <w:szCs w:val="18"/>
              </w:rPr>
              <w:t>积极举报各类违纪违法问题线索</w:t>
            </w:r>
            <w:r>
              <w:rPr>
                <w:rFonts w:hint="eastAsia" w:ascii="宋体" w:hAnsi="宋体" w:cs="宋体"/>
                <w:color w:val="000000"/>
                <w:sz w:val="18"/>
                <w:szCs w:val="18"/>
                <w:lang w:eastAsia="zh-CN"/>
              </w:rPr>
              <w:t>，全年接收各类线索</w:t>
            </w:r>
            <w:r>
              <w:rPr>
                <w:rFonts w:hint="eastAsia" w:ascii="宋体" w:hAnsi="宋体" w:cs="宋体"/>
                <w:color w:val="000000"/>
                <w:sz w:val="18"/>
                <w:szCs w:val="18"/>
                <w:lang w:val="en-US" w:eastAsia="zh-CN"/>
              </w:rPr>
              <w:t>51条。</w:t>
            </w:r>
          </w:p>
          <w:p w14:paraId="39109DAC">
            <w:pPr>
              <w:jc w:val="left"/>
              <w:rPr>
                <w:rFonts w:ascii="宋体" w:hAnsi="宋体"/>
                <w:color w:val="000000"/>
                <w:kern w:val="0"/>
                <w:sz w:val="18"/>
                <w:szCs w:val="18"/>
              </w:rPr>
            </w:pPr>
          </w:p>
        </w:tc>
        <w:tc>
          <w:tcPr>
            <w:tcW w:w="1909" w:type="dxa"/>
            <w:noWrap w:val="0"/>
            <w:vAlign w:val="center"/>
          </w:tcPr>
          <w:p w14:paraId="21639444">
            <w:pPr>
              <w:jc w:val="left"/>
              <w:rPr>
                <w:rFonts w:ascii="宋体" w:hAnsi="宋体"/>
                <w:color w:val="000000"/>
                <w:kern w:val="0"/>
                <w:sz w:val="18"/>
                <w:szCs w:val="18"/>
              </w:rPr>
            </w:pPr>
            <w:r>
              <w:rPr>
                <w:rFonts w:hint="eastAsia" w:ascii="宋体" w:hAnsi="宋体"/>
                <w:color w:val="000000"/>
                <w:kern w:val="0"/>
                <w:sz w:val="18"/>
                <w:szCs w:val="18"/>
              </w:rPr>
              <w:t>无偏差</w:t>
            </w:r>
          </w:p>
        </w:tc>
      </w:tr>
      <w:tr w14:paraId="5D84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 w:type="dxa"/>
            <w:vMerge w:val="continue"/>
            <w:noWrap w:val="0"/>
            <w:vAlign w:val="center"/>
          </w:tcPr>
          <w:p w14:paraId="35E750ED">
            <w:pPr>
              <w:widowControl/>
              <w:jc w:val="left"/>
              <w:rPr>
                <w:rFonts w:ascii="宋体" w:hAnsi="宋体"/>
                <w:color w:val="000000"/>
                <w:kern w:val="0"/>
                <w:sz w:val="18"/>
                <w:szCs w:val="18"/>
              </w:rPr>
            </w:pPr>
          </w:p>
        </w:tc>
        <w:tc>
          <w:tcPr>
            <w:tcW w:w="847" w:type="dxa"/>
            <w:noWrap w:val="0"/>
            <w:vAlign w:val="center"/>
          </w:tcPr>
          <w:p w14:paraId="1F32F9C2">
            <w:pPr>
              <w:widowControl/>
              <w:jc w:val="left"/>
              <w:rPr>
                <w:rFonts w:ascii="宋体" w:hAnsi="宋体"/>
                <w:color w:val="000000"/>
                <w:kern w:val="0"/>
                <w:sz w:val="18"/>
                <w:szCs w:val="18"/>
              </w:rPr>
            </w:pPr>
            <w:r>
              <w:rPr>
                <w:rFonts w:ascii="宋体" w:hAnsi="宋体"/>
                <w:color w:val="000000"/>
                <w:kern w:val="0"/>
                <w:sz w:val="18"/>
                <w:szCs w:val="18"/>
              </w:rPr>
              <w:t>满意度</w:t>
            </w:r>
          </w:p>
          <w:p w14:paraId="3F513B31">
            <w:pPr>
              <w:widowControl/>
              <w:jc w:val="left"/>
              <w:rPr>
                <w:rFonts w:ascii="宋体" w:hAnsi="宋体"/>
                <w:color w:val="000000"/>
                <w:kern w:val="0"/>
                <w:sz w:val="18"/>
                <w:szCs w:val="18"/>
              </w:rPr>
            </w:pPr>
            <w:r>
              <w:rPr>
                <w:rFonts w:ascii="宋体" w:hAnsi="宋体"/>
                <w:color w:val="000000"/>
                <w:kern w:val="0"/>
                <w:sz w:val="18"/>
                <w:szCs w:val="18"/>
              </w:rPr>
              <w:t>指标</w:t>
            </w:r>
          </w:p>
        </w:tc>
        <w:tc>
          <w:tcPr>
            <w:tcW w:w="1490" w:type="dxa"/>
            <w:gridSpan w:val="2"/>
            <w:noWrap w:val="0"/>
            <w:vAlign w:val="center"/>
          </w:tcPr>
          <w:p w14:paraId="07EF027C">
            <w:pPr>
              <w:widowControl/>
              <w:jc w:val="left"/>
              <w:rPr>
                <w:rFonts w:ascii="宋体" w:hAnsi="宋体"/>
                <w:color w:val="000000"/>
                <w:kern w:val="0"/>
                <w:sz w:val="18"/>
                <w:szCs w:val="18"/>
              </w:rPr>
            </w:pPr>
            <w:r>
              <w:rPr>
                <w:rFonts w:ascii="宋体" w:hAnsi="宋体"/>
                <w:color w:val="000000"/>
                <w:kern w:val="0"/>
                <w:sz w:val="18"/>
                <w:szCs w:val="18"/>
              </w:rPr>
              <w:t>满意度指标</w:t>
            </w:r>
          </w:p>
        </w:tc>
        <w:tc>
          <w:tcPr>
            <w:tcW w:w="849" w:type="dxa"/>
            <w:noWrap w:val="0"/>
            <w:vAlign w:val="center"/>
          </w:tcPr>
          <w:p w14:paraId="402A54D4">
            <w:pPr>
              <w:widowControl/>
              <w:jc w:val="left"/>
              <w:rPr>
                <w:rFonts w:ascii="宋体" w:hAnsi="宋体"/>
                <w:color w:val="000000"/>
                <w:kern w:val="0"/>
                <w:sz w:val="18"/>
                <w:szCs w:val="18"/>
              </w:rPr>
            </w:pPr>
            <w:r>
              <w:rPr>
                <w:rFonts w:hint="eastAsia" w:ascii="宋体" w:hAnsi="宋体"/>
                <w:color w:val="000000"/>
                <w:kern w:val="0"/>
                <w:sz w:val="18"/>
                <w:szCs w:val="18"/>
              </w:rPr>
              <w:t>群众对扫黑除恶专项斗争满意度指标</w:t>
            </w:r>
          </w:p>
        </w:tc>
        <w:tc>
          <w:tcPr>
            <w:tcW w:w="1422" w:type="dxa"/>
            <w:gridSpan w:val="2"/>
            <w:noWrap w:val="0"/>
            <w:vAlign w:val="center"/>
          </w:tcPr>
          <w:p w14:paraId="2CE4ABC8">
            <w:pPr>
              <w:widowControl/>
              <w:jc w:val="left"/>
              <w:rPr>
                <w:rFonts w:ascii="宋体" w:hAnsi="宋体"/>
                <w:color w:val="000000"/>
                <w:kern w:val="0"/>
                <w:sz w:val="18"/>
                <w:szCs w:val="18"/>
              </w:rPr>
            </w:pPr>
            <w:r>
              <w:rPr>
                <w:rFonts w:hint="eastAsia" w:ascii="宋体" w:hAnsi="宋体"/>
                <w:color w:val="000000"/>
                <w:kern w:val="0"/>
                <w:sz w:val="18"/>
                <w:szCs w:val="18"/>
              </w:rPr>
              <w:t>让90%以上群众满意度</w:t>
            </w:r>
          </w:p>
        </w:tc>
        <w:tc>
          <w:tcPr>
            <w:tcW w:w="1559" w:type="dxa"/>
            <w:noWrap w:val="0"/>
            <w:vAlign w:val="center"/>
          </w:tcPr>
          <w:p w14:paraId="3D181CE6">
            <w:pPr>
              <w:widowControl/>
              <w:jc w:val="center"/>
              <w:rPr>
                <w:rFonts w:hint="eastAsia" w:ascii="宋体" w:hAnsi="宋体"/>
                <w:color w:val="000000"/>
                <w:kern w:val="0"/>
                <w:sz w:val="18"/>
                <w:szCs w:val="18"/>
              </w:rPr>
            </w:pPr>
            <w:r>
              <w:rPr>
                <w:rFonts w:hint="eastAsia" w:ascii="宋体" w:hAnsi="宋体"/>
                <w:color w:val="000000"/>
                <w:kern w:val="0"/>
                <w:sz w:val="18"/>
                <w:szCs w:val="18"/>
              </w:rPr>
              <w:t>完成</w:t>
            </w:r>
          </w:p>
        </w:tc>
        <w:tc>
          <w:tcPr>
            <w:tcW w:w="1909" w:type="dxa"/>
            <w:noWrap w:val="0"/>
            <w:vAlign w:val="center"/>
          </w:tcPr>
          <w:p w14:paraId="27761E6D">
            <w:pPr>
              <w:widowControl/>
              <w:jc w:val="left"/>
              <w:rPr>
                <w:rFonts w:ascii="宋体" w:hAnsi="宋体"/>
                <w:color w:val="000000"/>
                <w:kern w:val="0"/>
                <w:sz w:val="18"/>
                <w:szCs w:val="18"/>
              </w:rPr>
            </w:pPr>
            <w:r>
              <w:rPr>
                <w:rFonts w:hint="eastAsia" w:ascii="宋体" w:hAnsi="宋体"/>
                <w:color w:val="000000"/>
                <w:kern w:val="0"/>
                <w:sz w:val="18"/>
                <w:szCs w:val="18"/>
              </w:rPr>
              <w:t>无偏差</w:t>
            </w:r>
          </w:p>
        </w:tc>
      </w:tr>
    </w:tbl>
    <w:p w14:paraId="284A6926">
      <w:pPr>
        <w:pStyle w:val="2"/>
        <w:spacing w:line="620" w:lineRule="exact"/>
        <w:rPr>
          <w:rFonts w:hint="eastAsia" w:ascii="宋体" w:hAnsi="宋体" w:eastAsia="方正小标宋简体" w:cs="方正小标宋简体"/>
          <w:sz w:val="32"/>
          <w:szCs w:val="32"/>
          <w:lang w:val="en-US" w:eastAsia="zh-CN"/>
        </w:rPr>
      </w:pPr>
      <w:r>
        <w:rPr>
          <w:rFonts w:hint="eastAsia" w:ascii="宋体" w:hAnsi="宋体" w:eastAsia="方正小标宋简体" w:cs="方正小标宋简体"/>
          <w:sz w:val="32"/>
          <w:szCs w:val="32"/>
          <w:lang w:eastAsia="zh-CN"/>
        </w:rPr>
        <w:t>附件</w:t>
      </w:r>
      <w:r>
        <w:rPr>
          <w:rFonts w:hint="eastAsia" w:ascii="宋体" w:hAnsi="宋体" w:eastAsia="方正小标宋简体" w:cs="方正小标宋简体"/>
          <w:sz w:val="32"/>
          <w:szCs w:val="32"/>
          <w:lang w:val="en-US" w:eastAsia="zh-CN"/>
        </w:rPr>
        <w:t>5</w:t>
      </w:r>
    </w:p>
    <w:p w14:paraId="276C8D1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color w:val="000000"/>
          <w:spacing w:val="-12"/>
          <w:kern w:val="0"/>
          <w:sz w:val="44"/>
          <w:szCs w:val="44"/>
        </w:rPr>
      </w:pPr>
      <w:r>
        <w:rPr>
          <w:rFonts w:hint="eastAsia" w:ascii="宋体" w:hAnsi="宋体" w:eastAsia="方正小标宋简体" w:cs="方正小标宋简体"/>
          <w:color w:val="000000"/>
          <w:spacing w:val="-12"/>
          <w:kern w:val="0"/>
          <w:sz w:val="44"/>
          <w:szCs w:val="44"/>
        </w:rPr>
        <w:t>202</w:t>
      </w:r>
      <w:r>
        <w:rPr>
          <w:rFonts w:hint="eastAsia" w:ascii="宋体" w:hAnsi="宋体" w:eastAsia="方正小标宋简体" w:cs="方正小标宋简体"/>
          <w:color w:val="000000"/>
          <w:spacing w:val="-12"/>
          <w:kern w:val="0"/>
          <w:sz w:val="44"/>
          <w:szCs w:val="44"/>
          <w:lang w:val="en-US" w:eastAsia="zh-CN"/>
        </w:rPr>
        <w:t>3</w:t>
      </w:r>
      <w:r>
        <w:rPr>
          <w:rFonts w:hint="eastAsia" w:ascii="宋体" w:hAnsi="宋体" w:eastAsia="方正小标宋简体" w:cs="方正小标宋简体"/>
          <w:color w:val="000000"/>
          <w:spacing w:val="-12"/>
          <w:kern w:val="0"/>
          <w:sz w:val="44"/>
          <w:szCs w:val="44"/>
        </w:rPr>
        <w:t>年市级项目支出绩效自评报告</w:t>
      </w:r>
    </w:p>
    <w:p w14:paraId="00EC701C">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eastAsia="方正楷体简体"/>
          <w:b/>
          <w:sz w:val="32"/>
          <w:szCs w:val="32"/>
        </w:rPr>
      </w:pPr>
      <w:r>
        <w:rPr>
          <w:rFonts w:ascii="宋体" w:hAnsi="宋体" w:eastAsia="方正楷体简体"/>
          <w:b/>
          <w:sz w:val="32"/>
          <w:szCs w:val="32"/>
        </w:rPr>
        <w:t>（</w:t>
      </w:r>
      <w:r>
        <w:rPr>
          <w:rFonts w:hint="eastAsia" w:ascii="宋体" w:hAnsi="宋体" w:eastAsia="方正楷体简体"/>
          <w:b/>
          <w:sz w:val="32"/>
          <w:szCs w:val="32"/>
          <w:lang w:eastAsia="zh-CN"/>
        </w:rPr>
        <w:t>法学会工作经费</w:t>
      </w:r>
      <w:r>
        <w:rPr>
          <w:rFonts w:ascii="宋体" w:hAnsi="宋体" w:eastAsia="方正楷体简体"/>
          <w:b/>
          <w:sz w:val="32"/>
          <w:szCs w:val="32"/>
        </w:rPr>
        <w:t>）</w:t>
      </w:r>
    </w:p>
    <w:p w14:paraId="7F3E6938">
      <w:pPr>
        <w:pStyle w:val="2"/>
        <w:keepNext w:val="0"/>
        <w:keepLines w:val="0"/>
        <w:pageBreakBefore w:val="0"/>
        <w:kinsoku/>
        <w:wordWrap/>
        <w:overflowPunct/>
        <w:topLinePunct w:val="0"/>
        <w:autoSpaceDE/>
        <w:autoSpaceDN/>
        <w:bidi w:val="0"/>
        <w:adjustRightInd/>
        <w:snapToGrid/>
        <w:spacing w:line="600" w:lineRule="exact"/>
        <w:textAlignment w:val="auto"/>
        <w:rPr>
          <w:rFonts w:ascii="宋体" w:hAnsi="宋体" w:eastAsia="方正仿宋简体"/>
          <w:sz w:val="32"/>
          <w:szCs w:val="32"/>
        </w:rPr>
      </w:pPr>
    </w:p>
    <w:p w14:paraId="151B014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宋体" w:hAnsi="宋体" w:eastAsia="方正黑体简体"/>
          <w:sz w:val="32"/>
          <w:szCs w:val="32"/>
        </w:rPr>
      </w:pPr>
      <w:r>
        <w:rPr>
          <w:rFonts w:ascii="宋体" w:hAnsi="宋体" w:eastAsia="方正黑体简体"/>
          <w:sz w:val="32"/>
          <w:szCs w:val="32"/>
        </w:rPr>
        <w:t>一、项目基本情况</w:t>
      </w:r>
    </w:p>
    <w:p w14:paraId="50E8517A">
      <w:pPr>
        <w:pStyle w:val="2"/>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宋体" w:hAnsi="宋体" w:eastAsia="方正楷体简体"/>
          <w:b/>
          <w:sz w:val="32"/>
          <w:szCs w:val="32"/>
        </w:rPr>
      </w:pPr>
      <w:r>
        <w:rPr>
          <w:rFonts w:ascii="宋体" w:hAnsi="宋体" w:eastAsia="方正楷体简体"/>
          <w:b/>
          <w:sz w:val="32"/>
          <w:szCs w:val="32"/>
        </w:rPr>
        <w:t>（一）概况</w:t>
      </w:r>
    </w:p>
    <w:p w14:paraId="013B2755">
      <w:pPr>
        <w:pStyle w:val="2"/>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宋体" w:hAnsi="宋体" w:eastAsia="方正仿宋简体"/>
          <w:b/>
          <w:sz w:val="32"/>
          <w:szCs w:val="32"/>
        </w:rPr>
      </w:pPr>
      <w:r>
        <w:rPr>
          <w:rFonts w:ascii="宋体" w:hAnsi="宋体" w:eastAsia="方正仿宋简体"/>
          <w:b/>
          <w:sz w:val="32"/>
          <w:szCs w:val="32"/>
        </w:rPr>
        <w:t>1．立项背景及目的</w:t>
      </w:r>
    </w:p>
    <w:p w14:paraId="248C3DAB">
      <w:pPr>
        <w:spacing w:line="590" w:lineRule="exact"/>
        <w:ind w:firstLine="660" w:firstLineChars="200"/>
        <w:rPr>
          <w:rFonts w:hint="eastAsia" w:ascii="宋体" w:hAnsi="宋体" w:eastAsia="方正黑体_GBK" w:cs="方正黑体_GBK"/>
          <w:color w:val="000000"/>
          <w:spacing w:val="-6"/>
          <w:sz w:val="33"/>
          <w:szCs w:val="33"/>
          <w:lang w:eastAsia="zh-CN"/>
        </w:rPr>
      </w:pPr>
      <w:r>
        <w:rPr>
          <w:rFonts w:hint="eastAsia" w:ascii="宋体" w:hAnsi="宋体" w:eastAsia="方正仿宋简体"/>
          <w:color w:val="000000"/>
          <w:sz w:val="33"/>
          <w:szCs w:val="33"/>
        </w:rPr>
        <w:t>资阳市法学会属</w:t>
      </w:r>
      <w:r>
        <w:rPr>
          <w:rFonts w:hint="eastAsia" w:ascii="宋体" w:hAnsi="宋体" w:eastAsia="方正仿宋简体"/>
          <w:color w:val="000000"/>
          <w:spacing w:val="-6"/>
          <w:sz w:val="33"/>
          <w:szCs w:val="33"/>
        </w:rPr>
        <w:t>中共</w:t>
      </w:r>
      <w:r>
        <w:rPr>
          <w:rFonts w:ascii="宋体" w:hAnsi="宋体" w:eastAsia="方正仿宋简体" w:cs="Times New Roman"/>
          <w:color w:val="000000"/>
          <w:spacing w:val="-6"/>
          <w:sz w:val="33"/>
          <w:szCs w:val="33"/>
        </w:rPr>
        <w:t>资阳市委领导的人民团体，由市委政法委代管，是资阳</w:t>
      </w:r>
      <w:r>
        <w:rPr>
          <w:rFonts w:ascii="宋体" w:hAnsi="宋体" w:eastAsia="方正仿宋简体" w:cs="Times New Roman"/>
          <w:color w:val="000000"/>
          <w:sz w:val="33"/>
          <w:szCs w:val="33"/>
        </w:rPr>
        <w:t>法学界、法律界的群众团体、学术团体和政法战线的重要组成部分，是市委、市政府联系广大法学法律工作者的桥梁纽带，是加强社会主义民主</w:t>
      </w:r>
      <w:r>
        <w:rPr>
          <w:rFonts w:hint="eastAsia" w:ascii="宋体" w:hAnsi="宋体" w:eastAsia="方正仿宋简体" w:cs="Times New Roman"/>
          <w:color w:val="000000"/>
          <w:sz w:val="33"/>
          <w:szCs w:val="33"/>
        </w:rPr>
        <w:t>法治建设、推进依法治市的重要力量。</w:t>
      </w:r>
    </w:p>
    <w:p w14:paraId="4F6343AE">
      <w:pPr>
        <w:pStyle w:val="14"/>
        <w:spacing w:line="590" w:lineRule="exact"/>
        <w:ind w:firstLine="660" w:firstLineChars="200"/>
        <w:jc w:val="both"/>
        <w:rPr>
          <w:rFonts w:hint="eastAsia" w:ascii="宋体" w:hAnsi="宋体" w:eastAsia="方正仿宋简体" w:cs="Times New Roman"/>
          <w:color w:val="000000"/>
          <w:kern w:val="2"/>
          <w:sz w:val="33"/>
          <w:szCs w:val="33"/>
          <w:lang w:val="en-US" w:eastAsia="zh-CN" w:bidi="ar-SA"/>
        </w:rPr>
      </w:pPr>
      <w:r>
        <w:rPr>
          <w:rFonts w:hint="eastAsia" w:ascii="宋体" w:hAnsi="宋体" w:eastAsia="方正仿宋简体" w:cs="Times New Roman"/>
          <w:color w:val="000000"/>
          <w:kern w:val="2"/>
          <w:sz w:val="33"/>
          <w:szCs w:val="33"/>
          <w:lang w:val="en-US" w:eastAsia="zh-CN" w:bidi="ar-SA"/>
        </w:rPr>
        <w:t>坚持以习近平新时代中国特色社会主义思想为指导，深入贯彻习近平法治思想，贯彻落实习近平总书记对四川工作、政法工作、法学会工作的系列重要指示批示精神，贯彻落实中共中央办公厅《关于进一步加强法学会建设的意见》，深入贯彻中央和省委、市委系列重要会议精神，增强“四个意识”、坚定“四个自信”、做到“两个维护”，坚持服务市委市政府工作大局，坚持稳中求进工作总基调，坚持“树品牌、扩影响、增实效”工作思路，紧扣推动高质量发展主题，切实做好加强政治引领、繁荣法学研究、服务法治实践、培养法治人才、加强自身建设等工作，强队伍、补短板、增亮点、促提升，奋力推动法学会工作高质量发展，为建设更高水平的平安资阳、法治资阳作出新贡献。</w:t>
      </w:r>
    </w:p>
    <w:p w14:paraId="61E383B8">
      <w:pPr>
        <w:pStyle w:val="2"/>
        <w:keepNext w:val="0"/>
        <w:keepLines w:val="0"/>
        <w:pageBreakBefore w:val="0"/>
        <w:numPr>
          <w:ilvl w:val="0"/>
          <w:numId w:val="1"/>
        </w:numPr>
        <w:kinsoku/>
        <w:wordWrap/>
        <w:overflowPunct/>
        <w:topLinePunct w:val="0"/>
        <w:autoSpaceDE/>
        <w:autoSpaceDN/>
        <w:bidi w:val="0"/>
        <w:adjustRightInd/>
        <w:snapToGrid/>
        <w:spacing w:line="600" w:lineRule="exact"/>
        <w:ind w:firstLine="630" w:firstLineChars="196"/>
        <w:textAlignment w:val="auto"/>
        <w:rPr>
          <w:rFonts w:ascii="宋体" w:hAnsi="宋体" w:eastAsia="方正仿宋简体"/>
          <w:b/>
          <w:sz w:val="32"/>
          <w:szCs w:val="32"/>
        </w:rPr>
      </w:pPr>
      <w:r>
        <w:rPr>
          <w:rFonts w:ascii="宋体" w:hAnsi="宋体" w:eastAsia="方正仿宋简体"/>
          <w:b/>
          <w:sz w:val="32"/>
          <w:szCs w:val="32"/>
        </w:rPr>
        <w:t>预算资金来源及使用情况</w:t>
      </w:r>
    </w:p>
    <w:p w14:paraId="0DFBB89D">
      <w:pPr>
        <w:keepNext w:val="0"/>
        <w:keepLines w:val="0"/>
        <w:pageBreakBefore w:val="0"/>
        <w:kinsoku/>
        <w:wordWrap/>
        <w:overflowPunct/>
        <w:topLinePunct w:val="0"/>
        <w:autoSpaceDE/>
        <w:autoSpaceDN/>
        <w:bidi w:val="0"/>
        <w:adjustRightInd/>
        <w:snapToGrid/>
        <w:spacing w:line="600" w:lineRule="exact"/>
        <w:ind w:firstLine="660" w:firstLineChars="200"/>
        <w:textAlignment w:val="auto"/>
        <w:rPr>
          <w:rFonts w:hint="eastAsia" w:ascii="宋体" w:hAnsi="宋体" w:eastAsia="仿宋_GB2312" w:cs="仿宋_GB2312"/>
          <w:sz w:val="33"/>
          <w:szCs w:val="33"/>
        </w:rPr>
      </w:pPr>
      <w:r>
        <w:rPr>
          <w:rFonts w:hint="eastAsia" w:ascii="宋体" w:hAnsi="宋体" w:eastAsia="仿宋_GB2312" w:cs="仿宋_GB2312"/>
          <w:sz w:val="33"/>
          <w:szCs w:val="33"/>
          <w:lang w:val="en-US" w:eastAsia="zh-CN"/>
        </w:rPr>
        <w:t>2023年年初预算安排市法学会工作经费10万元，全部为财政拨款，项目资金到位4.88万元，到位率=48.8%，实际支出4.88万元。</w:t>
      </w:r>
    </w:p>
    <w:p w14:paraId="69E4EDCD">
      <w:pPr>
        <w:pStyle w:val="2"/>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30" w:firstLineChars="196"/>
        <w:textAlignment w:val="auto"/>
        <w:rPr>
          <w:rFonts w:ascii="宋体" w:hAnsi="宋体" w:eastAsia="方正仿宋简体"/>
          <w:b/>
          <w:sz w:val="32"/>
          <w:szCs w:val="32"/>
        </w:rPr>
      </w:pPr>
      <w:r>
        <w:rPr>
          <w:rFonts w:ascii="宋体" w:hAnsi="宋体" w:eastAsia="方正仿宋简体"/>
          <w:b/>
          <w:sz w:val="32"/>
          <w:szCs w:val="32"/>
        </w:rPr>
        <w:t>实施情况（项目完成情况）</w:t>
      </w:r>
    </w:p>
    <w:p w14:paraId="5AE0204E">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60" w:firstLineChars="200"/>
        <w:textAlignment w:val="auto"/>
        <w:rPr>
          <w:rFonts w:ascii="宋体" w:hAnsi="宋体" w:eastAsia="方正仿宋简体"/>
          <w:b/>
          <w:color w:val="000000"/>
          <w:sz w:val="32"/>
          <w:szCs w:val="32"/>
        </w:rPr>
      </w:pPr>
      <w:r>
        <w:rPr>
          <w:rFonts w:hint="eastAsia" w:ascii="宋体" w:hAnsi="宋体" w:eastAsia="方正仿宋_GBK" w:cs="方正仿宋_GBK"/>
          <w:color w:val="000000"/>
          <w:sz w:val="33"/>
          <w:szCs w:val="33"/>
        </w:rPr>
        <w:t>202</w:t>
      </w:r>
      <w:r>
        <w:rPr>
          <w:rFonts w:hint="eastAsia" w:ascii="宋体" w:hAnsi="宋体" w:eastAsia="方正仿宋_GBK" w:cs="方正仿宋_GBK"/>
          <w:color w:val="000000"/>
          <w:sz w:val="33"/>
          <w:szCs w:val="33"/>
          <w:lang w:val="en-US" w:eastAsia="zh-CN"/>
        </w:rPr>
        <w:t>3</w:t>
      </w:r>
      <w:r>
        <w:rPr>
          <w:rFonts w:hint="eastAsia" w:ascii="宋体" w:hAnsi="宋体" w:eastAsia="方正仿宋_GBK" w:cs="方正仿宋_GBK"/>
          <w:color w:val="000000"/>
          <w:sz w:val="33"/>
          <w:szCs w:val="33"/>
        </w:rPr>
        <w:t>年，市法学会在市委政法委的坚强领导和省法学会有力指导下，</w:t>
      </w:r>
      <w:r>
        <w:rPr>
          <w:rFonts w:hint="eastAsia" w:ascii="宋体" w:hAnsi="宋体" w:eastAsia="方正仿宋_GBK" w:cs="方正仿宋_GBK"/>
          <w:color w:val="000000"/>
          <w:spacing w:val="0"/>
          <w:kern w:val="2"/>
          <w:sz w:val="33"/>
          <w:szCs w:val="33"/>
          <w:lang w:val="en-US" w:eastAsia="zh-CN" w:bidi="ar-SA"/>
        </w:rPr>
        <w:t>坚持以习近平新时代中国特色社会主义思想为指导，坚决贯彻习近平法治思想，认真落实省法学会部署要求，</w:t>
      </w:r>
      <w:r>
        <w:rPr>
          <w:rFonts w:hint="eastAsia" w:ascii="宋体" w:hAnsi="宋体" w:eastAsia="方正仿宋简体"/>
          <w:color w:val="000000"/>
          <w:spacing w:val="0"/>
          <w:sz w:val="33"/>
          <w:szCs w:val="33"/>
          <w:lang w:val="en-US" w:eastAsia="zh-CN"/>
        </w:rPr>
        <w:t>围绕“创品牌、扩影响、见实效”的工作基调，</w:t>
      </w:r>
      <w:r>
        <w:rPr>
          <w:rFonts w:hint="eastAsia" w:ascii="宋体" w:hAnsi="宋体" w:eastAsia="方正仿宋_GBK" w:cs="方正仿宋_GBK"/>
          <w:color w:val="000000"/>
          <w:spacing w:val="0"/>
          <w:kern w:val="2"/>
          <w:sz w:val="33"/>
          <w:szCs w:val="33"/>
          <w:lang w:val="en-US" w:eastAsia="zh-CN" w:bidi="ar-SA"/>
        </w:rPr>
        <w:t>推动繁荣法学研究、</w:t>
      </w:r>
      <w:r>
        <w:rPr>
          <w:rFonts w:hint="eastAsia" w:ascii="宋体" w:hAnsi="宋体" w:eastAsia="方正仿宋_GBK" w:cs="方正仿宋_GBK"/>
          <w:color w:val="000000"/>
          <w:sz w:val="33"/>
          <w:szCs w:val="33"/>
        </w:rPr>
        <w:t>深化法治实践</w:t>
      </w:r>
      <w:r>
        <w:rPr>
          <w:rFonts w:hint="eastAsia" w:ascii="宋体" w:hAnsi="宋体" w:eastAsia="方正仿宋_GBK" w:cs="方正仿宋_GBK"/>
          <w:color w:val="000000"/>
          <w:sz w:val="33"/>
          <w:szCs w:val="33"/>
          <w:lang w:eastAsia="zh-CN"/>
        </w:rPr>
        <w:t>、</w:t>
      </w:r>
      <w:r>
        <w:rPr>
          <w:rFonts w:hint="eastAsia" w:ascii="宋体" w:hAnsi="宋体" w:eastAsia="方正仿宋_GBK" w:cs="方正仿宋_GBK"/>
          <w:color w:val="000000"/>
          <w:sz w:val="33"/>
          <w:szCs w:val="33"/>
        </w:rPr>
        <w:t>深度融入基层治理、</w:t>
      </w:r>
      <w:r>
        <w:rPr>
          <w:rFonts w:hint="eastAsia" w:ascii="宋体" w:hAnsi="宋体" w:eastAsia="方正仿宋_GBK" w:cs="方正仿宋_GBK"/>
          <w:color w:val="000000"/>
          <w:sz w:val="33"/>
          <w:szCs w:val="33"/>
          <w:lang w:eastAsia="zh-CN"/>
        </w:rPr>
        <w:t>强化法治宣传等</w:t>
      </w:r>
      <w:r>
        <w:rPr>
          <w:rFonts w:hint="eastAsia" w:ascii="宋体" w:hAnsi="宋体" w:eastAsia="方正仿宋_GBK" w:cs="方正仿宋_GBK"/>
          <w:color w:val="000000"/>
          <w:spacing w:val="0"/>
          <w:kern w:val="2"/>
          <w:sz w:val="33"/>
          <w:szCs w:val="33"/>
          <w:lang w:val="en-US" w:eastAsia="zh-CN" w:bidi="ar-SA"/>
        </w:rPr>
        <w:t>各项重点工作取得新成效，</w:t>
      </w:r>
      <w:r>
        <w:rPr>
          <w:rFonts w:hint="eastAsia" w:ascii="宋体" w:hAnsi="宋体" w:eastAsia="方正仿宋_GBK" w:cs="方正仿宋_GBK"/>
          <w:color w:val="000000"/>
          <w:sz w:val="33"/>
          <w:szCs w:val="33"/>
        </w:rPr>
        <w:t>为建设更高水平的平安资阳、法治资阳作出积极贡献。</w:t>
      </w:r>
    </w:p>
    <w:p w14:paraId="32624FDD">
      <w:pPr>
        <w:pStyle w:val="2"/>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30" w:firstLineChars="196"/>
        <w:textAlignment w:val="auto"/>
        <w:rPr>
          <w:rFonts w:ascii="宋体" w:hAnsi="宋体" w:eastAsia="方正仿宋简体"/>
          <w:b/>
          <w:sz w:val="32"/>
          <w:szCs w:val="32"/>
        </w:rPr>
      </w:pPr>
      <w:r>
        <w:rPr>
          <w:rFonts w:ascii="宋体" w:hAnsi="宋体" w:eastAsia="方正仿宋简体"/>
          <w:b/>
          <w:sz w:val="32"/>
          <w:szCs w:val="32"/>
        </w:rPr>
        <w:t>组织及管理（项目组织、管理流程及实际执行情况）</w:t>
      </w:r>
    </w:p>
    <w:p w14:paraId="5C2796BE">
      <w:pPr>
        <w:keepNext w:val="0"/>
        <w:keepLines w:val="0"/>
        <w:pageBreakBefore w:val="0"/>
        <w:kinsoku/>
        <w:wordWrap/>
        <w:overflowPunct/>
        <w:topLinePunct w:val="0"/>
        <w:autoSpaceDE/>
        <w:autoSpaceDN/>
        <w:bidi w:val="0"/>
        <w:adjustRightInd/>
        <w:snapToGrid/>
        <w:spacing w:line="600" w:lineRule="exact"/>
        <w:ind w:firstLine="660" w:firstLineChars="200"/>
        <w:textAlignment w:val="auto"/>
        <w:rPr>
          <w:rFonts w:hint="eastAsia" w:ascii="宋体" w:hAnsi="宋体" w:eastAsia="仿宋_GB2312" w:cs="仿宋_GB2312"/>
          <w:sz w:val="33"/>
          <w:szCs w:val="33"/>
          <w:lang w:eastAsia="zh-CN"/>
        </w:rPr>
      </w:pPr>
      <w:r>
        <w:rPr>
          <w:rFonts w:hint="eastAsia" w:ascii="宋体" w:hAnsi="宋体" w:eastAsia="仿宋_GB2312" w:cs="仿宋_GB2312"/>
          <w:sz w:val="33"/>
          <w:szCs w:val="33"/>
        </w:rPr>
        <w:t>该项目</w:t>
      </w:r>
      <w:r>
        <w:rPr>
          <w:rFonts w:hint="eastAsia" w:ascii="宋体" w:hAnsi="宋体" w:eastAsia="仿宋_GB2312" w:cs="仿宋_GB2312"/>
          <w:sz w:val="33"/>
          <w:szCs w:val="33"/>
          <w:lang w:eastAsia="zh-CN"/>
        </w:rPr>
        <w:t>由</w:t>
      </w:r>
      <w:r>
        <w:rPr>
          <w:rFonts w:hint="eastAsia" w:ascii="宋体" w:hAnsi="宋体" w:eastAsia="仿宋_GB2312" w:cs="仿宋_GB2312"/>
          <w:sz w:val="33"/>
          <w:szCs w:val="33"/>
        </w:rPr>
        <w:t>市</w:t>
      </w:r>
      <w:r>
        <w:rPr>
          <w:rFonts w:hint="eastAsia" w:ascii="宋体" w:hAnsi="宋体" w:eastAsia="仿宋_GB2312" w:cs="仿宋_GB2312"/>
          <w:sz w:val="33"/>
          <w:szCs w:val="33"/>
          <w:lang w:eastAsia="zh-CN"/>
        </w:rPr>
        <w:t>法学会</w:t>
      </w:r>
      <w:r>
        <w:rPr>
          <w:rFonts w:hint="eastAsia" w:ascii="宋体" w:hAnsi="宋体" w:eastAsia="仿宋_GB2312" w:cs="仿宋_GB2312"/>
          <w:sz w:val="33"/>
          <w:szCs w:val="33"/>
        </w:rPr>
        <w:t>负责</w:t>
      </w:r>
      <w:r>
        <w:rPr>
          <w:rFonts w:hint="eastAsia" w:ascii="宋体" w:hAnsi="宋体" w:eastAsia="仿宋_GB2312" w:cs="仿宋_GB2312"/>
          <w:sz w:val="33"/>
          <w:szCs w:val="33"/>
          <w:lang w:eastAsia="zh-CN"/>
        </w:rPr>
        <w:t>项目的实施，办公室</w:t>
      </w:r>
      <w:r>
        <w:rPr>
          <w:rFonts w:hint="eastAsia" w:ascii="宋体" w:hAnsi="宋体" w:eastAsia="仿宋_GB2312" w:cs="仿宋_GB2312"/>
          <w:sz w:val="33"/>
          <w:szCs w:val="33"/>
        </w:rPr>
        <w:t>申请资金，财政下拨项目</w:t>
      </w:r>
      <w:r>
        <w:rPr>
          <w:rFonts w:hint="eastAsia" w:ascii="宋体" w:hAnsi="宋体" w:eastAsia="仿宋_GB2312" w:cs="仿宋_GB2312"/>
          <w:sz w:val="33"/>
          <w:szCs w:val="33"/>
          <w:lang w:eastAsia="zh-CN"/>
        </w:rPr>
        <w:t>经费</w:t>
      </w:r>
      <w:r>
        <w:rPr>
          <w:rFonts w:hint="eastAsia" w:ascii="宋体" w:hAnsi="宋体" w:eastAsia="仿宋_GB2312" w:cs="仿宋_GB2312"/>
          <w:sz w:val="33"/>
          <w:szCs w:val="33"/>
        </w:rPr>
        <w:t>。根据实际发生情况支付，资金执行情况</w:t>
      </w:r>
      <w:r>
        <w:rPr>
          <w:rFonts w:hint="eastAsia" w:ascii="宋体" w:hAnsi="宋体" w:eastAsia="仿宋_GB2312" w:cs="仿宋_GB2312"/>
          <w:sz w:val="33"/>
          <w:szCs w:val="33"/>
          <w:lang w:val="en-US" w:eastAsia="zh-CN"/>
        </w:rPr>
        <w:t>4.88</w:t>
      </w:r>
      <w:r>
        <w:rPr>
          <w:rFonts w:hint="eastAsia" w:ascii="宋体" w:hAnsi="宋体" w:eastAsia="仿宋_GB2312" w:cs="仿宋_GB2312"/>
          <w:sz w:val="33"/>
          <w:szCs w:val="33"/>
        </w:rPr>
        <w:t>万元。</w:t>
      </w:r>
    </w:p>
    <w:p w14:paraId="53371A5C">
      <w:pPr>
        <w:pStyle w:val="2"/>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宋体" w:hAnsi="宋体" w:eastAsia="方正楷体简体"/>
          <w:b/>
          <w:sz w:val="32"/>
          <w:szCs w:val="32"/>
        </w:rPr>
      </w:pPr>
      <w:r>
        <w:rPr>
          <w:rFonts w:ascii="宋体" w:hAnsi="宋体" w:eastAsia="方正楷体简体"/>
          <w:b/>
          <w:sz w:val="32"/>
          <w:szCs w:val="32"/>
        </w:rPr>
        <w:t>（二）绩效目标</w:t>
      </w:r>
    </w:p>
    <w:p w14:paraId="33C096EB">
      <w:pPr>
        <w:pStyle w:val="2"/>
        <w:keepNext w:val="0"/>
        <w:keepLines w:val="0"/>
        <w:pageBreakBefore w:val="0"/>
        <w:widowControl w:val="0"/>
        <w:kinsoku/>
        <w:wordWrap/>
        <w:overflowPunct/>
        <w:topLinePunct w:val="0"/>
        <w:autoSpaceDE/>
        <w:autoSpaceDN/>
        <w:bidi w:val="0"/>
        <w:adjustRightInd/>
        <w:snapToGrid/>
        <w:spacing w:after="0" w:line="590" w:lineRule="exact"/>
        <w:ind w:firstLine="643" w:firstLineChars="200"/>
        <w:jc w:val="both"/>
        <w:textAlignment w:val="auto"/>
        <w:rPr>
          <w:rFonts w:hint="eastAsia" w:ascii="宋体" w:hAnsi="宋体" w:eastAsia="方正仿宋_GBK" w:cs="方正仿宋_GBK"/>
          <w:spacing w:val="0"/>
          <w:sz w:val="33"/>
          <w:szCs w:val="33"/>
          <w:lang w:val="en-US" w:eastAsia="zh-CN"/>
        </w:rPr>
      </w:pPr>
      <w:r>
        <w:rPr>
          <w:rFonts w:hint="eastAsia" w:ascii="宋体" w:hAnsi="宋体" w:eastAsia="方正仿宋_GBK" w:cs="方正仿宋_GBK"/>
          <w:b/>
          <w:bCs/>
          <w:spacing w:val="0"/>
          <w:sz w:val="32"/>
          <w:szCs w:val="32"/>
          <w:lang w:val="en" w:eastAsia="zh-CN"/>
        </w:rPr>
        <w:t>一是始终强化政治引领，高位部署推动。</w:t>
      </w:r>
      <w:r>
        <w:rPr>
          <w:rFonts w:hint="eastAsia" w:ascii="宋体" w:hAnsi="宋体" w:eastAsia="方正黑体_GBK" w:cs="方正黑体_GBK"/>
          <w:b w:val="0"/>
          <w:bCs w:val="0"/>
          <w:spacing w:val="0"/>
          <w:sz w:val="32"/>
          <w:szCs w:val="32"/>
          <w:lang w:val="en" w:eastAsia="zh-CN"/>
        </w:rPr>
        <w:t>提高政治站位。</w:t>
      </w:r>
      <w:r>
        <w:rPr>
          <w:rFonts w:hint="eastAsia" w:ascii="宋体" w:hAnsi="宋体" w:eastAsia="方正仿宋_GBK" w:cs="方正仿宋_GBK"/>
          <w:color w:val="000000"/>
          <w:spacing w:val="0"/>
          <w:sz w:val="33"/>
          <w:szCs w:val="33"/>
          <w:lang w:val="en" w:eastAsia="zh-CN"/>
        </w:rPr>
        <w:t>旗帜鲜明讲政治，坚定执行党的政治路线，严格遵守政治纪律和政治规矩，坚持党对法学会工作的绝对领导，充分发挥法学会党组对法学会工作的政治定向作用，确保正确政治方向。坚持抓好党的二十大精神、习近平法治思想、习近平来川视察重要讲话精神的学习宣传贯彻，在加强理论修养中提升党性修养，</w:t>
      </w:r>
      <w:r>
        <w:rPr>
          <w:rFonts w:hint="eastAsia" w:ascii="宋体" w:hAnsi="宋体" w:eastAsia="方正仿宋_GBK" w:cs="方正仿宋_GBK"/>
          <w:color w:val="000000"/>
          <w:spacing w:val="0"/>
          <w:sz w:val="33"/>
          <w:szCs w:val="33"/>
          <w:lang w:eastAsia="zh-CN"/>
        </w:rPr>
        <w:t>《“四个坚持”定方位</w:t>
      </w:r>
      <w:r>
        <w:rPr>
          <w:rFonts w:hint="eastAsia" w:ascii="宋体" w:hAnsi="宋体" w:eastAsia="方正仿宋_GBK" w:cs="方正仿宋_GBK"/>
          <w:color w:val="000000"/>
          <w:spacing w:val="0"/>
          <w:sz w:val="33"/>
          <w:szCs w:val="33"/>
          <w:lang w:val="en-US" w:eastAsia="zh-CN"/>
        </w:rPr>
        <w:t xml:space="preserve"> </w:t>
      </w:r>
      <w:r>
        <w:rPr>
          <w:rFonts w:hint="eastAsia" w:ascii="宋体" w:hAnsi="宋体" w:eastAsia="方正仿宋_GBK" w:cs="方正仿宋_GBK"/>
          <w:color w:val="000000"/>
          <w:spacing w:val="0"/>
          <w:sz w:val="33"/>
          <w:szCs w:val="33"/>
          <w:lang w:eastAsia="zh-CN"/>
        </w:rPr>
        <w:t>“四个坚决”抓落实 全力推进资阳政法工作高质量发展》《</w:t>
      </w:r>
      <w:r>
        <w:rPr>
          <w:rFonts w:hint="eastAsia" w:ascii="宋体" w:hAnsi="宋体" w:eastAsia="方正仿宋_GBK" w:cs="方正仿宋_GBK"/>
          <w:spacing w:val="0"/>
          <w:sz w:val="33"/>
          <w:szCs w:val="33"/>
          <w:lang w:eastAsia="zh-CN"/>
        </w:rPr>
        <w:t>全面</w:t>
      </w:r>
      <w:r>
        <w:rPr>
          <w:rFonts w:hint="eastAsia" w:ascii="宋体" w:hAnsi="宋体" w:eastAsia="方正仿宋_GBK" w:cs="方正仿宋_GBK"/>
          <w:spacing w:val="0"/>
          <w:sz w:val="33"/>
          <w:szCs w:val="33"/>
        </w:rPr>
        <w:t>贯彻习近平法治思想</w:t>
      </w:r>
      <w:r>
        <w:rPr>
          <w:rFonts w:hint="eastAsia" w:ascii="宋体" w:hAnsi="宋体" w:eastAsia="方正仿宋_GBK" w:cs="方正仿宋_GBK"/>
          <w:spacing w:val="0"/>
          <w:sz w:val="33"/>
          <w:szCs w:val="33"/>
          <w:lang w:eastAsia="zh-CN"/>
        </w:rPr>
        <w:t>推进市域治理现代化</w:t>
      </w:r>
      <w:r>
        <w:rPr>
          <w:rFonts w:hint="eastAsia" w:ascii="宋体" w:hAnsi="宋体" w:eastAsia="方正仿宋_GBK" w:cs="方正仿宋_GBK"/>
          <w:spacing w:val="0"/>
          <w:sz w:val="33"/>
          <w:szCs w:val="33"/>
        </w:rPr>
        <w:t>的资阳实践》</w:t>
      </w:r>
      <w:r>
        <w:rPr>
          <w:rFonts w:hint="eastAsia" w:ascii="宋体" w:hAnsi="宋体" w:eastAsia="方正仿宋_GBK" w:cs="方正仿宋_GBK"/>
          <w:spacing w:val="0"/>
          <w:sz w:val="33"/>
          <w:szCs w:val="33"/>
          <w:lang w:eastAsia="zh-CN"/>
        </w:rPr>
        <w:t>等理论文章</w:t>
      </w:r>
      <w:r>
        <w:rPr>
          <w:rFonts w:hint="eastAsia" w:ascii="宋体" w:hAnsi="宋体" w:eastAsia="方正仿宋_GBK" w:cs="方正仿宋_GBK"/>
          <w:spacing w:val="0"/>
          <w:sz w:val="33"/>
          <w:szCs w:val="33"/>
        </w:rPr>
        <w:t>在《四川政法》</w:t>
      </w:r>
      <w:r>
        <w:rPr>
          <w:rFonts w:hint="eastAsia" w:ascii="宋体" w:hAnsi="宋体" w:eastAsia="方正仿宋_GBK" w:cs="方正仿宋_GBK"/>
          <w:spacing w:val="0"/>
          <w:sz w:val="33"/>
          <w:szCs w:val="33"/>
          <w:lang w:eastAsia="zh-CN"/>
        </w:rPr>
        <w:t>等各级媒体刊发。</w:t>
      </w:r>
      <w:r>
        <w:rPr>
          <w:rFonts w:hint="eastAsia" w:ascii="宋体" w:hAnsi="宋体" w:eastAsia="方正仿宋_GBK" w:cs="方正仿宋_GBK"/>
          <w:color w:val="000000"/>
          <w:spacing w:val="0"/>
          <w:sz w:val="33"/>
          <w:szCs w:val="33"/>
          <w:lang w:val="en" w:eastAsia="zh-CN"/>
        </w:rPr>
        <w:t>专题传达学习省法学会八代会精神，研究贯彻落实意见，</w:t>
      </w:r>
      <w:r>
        <w:rPr>
          <w:rFonts w:hint="eastAsia" w:ascii="宋体" w:hAnsi="宋体" w:eastAsia="方正仿宋_GBK" w:cs="方正仿宋_GBK"/>
          <w:color w:val="000000"/>
          <w:spacing w:val="0"/>
          <w:sz w:val="33"/>
          <w:szCs w:val="33"/>
          <w:lang w:val="en-US" w:eastAsia="zh-CN"/>
        </w:rPr>
        <w:t>切实统一思想和行动，</w:t>
      </w:r>
      <w:r>
        <w:rPr>
          <w:rFonts w:hint="eastAsia" w:ascii="宋体" w:hAnsi="宋体" w:eastAsia="方正仿宋_GBK" w:cs="方正仿宋_GBK"/>
          <w:spacing w:val="0"/>
          <w:sz w:val="33"/>
          <w:szCs w:val="33"/>
          <w:lang w:eastAsia="zh-CN"/>
        </w:rPr>
        <w:t>《资阳市法学会“三个突出”坚决贯彻省法学会第八次会员代表大会精神》被《学习强国》刊用</w:t>
      </w:r>
      <w:r>
        <w:rPr>
          <w:rFonts w:hint="eastAsia" w:ascii="宋体" w:hAnsi="宋体" w:eastAsia="方正仿宋_GBK" w:cs="方正仿宋_GBK"/>
          <w:spacing w:val="0"/>
          <w:sz w:val="33"/>
          <w:szCs w:val="33"/>
          <w:lang w:val="en-US" w:eastAsia="zh-CN"/>
        </w:rPr>
        <w:t>。</w:t>
      </w:r>
      <w:r>
        <w:rPr>
          <w:rFonts w:hint="eastAsia" w:ascii="宋体" w:hAnsi="宋体" w:eastAsia="方正黑体_GBK" w:cs="方正黑体_GBK"/>
          <w:b w:val="0"/>
          <w:bCs w:val="0"/>
          <w:spacing w:val="0"/>
          <w:sz w:val="32"/>
          <w:szCs w:val="32"/>
          <w:lang w:val="en" w:eastAsia="zh-CN"/>
        </w:rPr>
        <w:t>突出高位统筹。</w:t>
      </w:r>
      <w:r>
        <w:rPr>
          <w:rFonts w:hint="eastAsia" w:ascii="宋体" w:hAnsi="宋体" w:eastAsia="方正仿宋_GBK" w:cs="方正仿宋_GBK"/>
          <w:spacing w:val="0"/>
          <w:sz w:val="33"/>
          <w:szCs w:val="33"/>
          <w:lang w:eastAsia="zh-CN"/>
        </w:rPr>
        <w:t>全省</w:t>
      </w:r>
      <w:r>
        <w:rPr>
          <w:rFonts w:hint="eastAsia" w:ascii="宋体" w:hAnsi="宋体" w:eastAsia="方正仿宋_GBK" w:cs="方正仿宋_GBK"/>
          <w:spacing w:val="0"/>
          <w:sz w:val="33"/>
          <w:szCs w:val="33"/>
        </w:rPr>
        <w:t>法学会系统深入学习宣传贯彻党的二十大精神推进会</w:t>
      </w:r>
      <w:r>
        <w:rPr>
          <w:rFonts w:hint="eastAsia" w:ascii="宋体" w:hAnsi="宋体" w:eastAsia="方正仿宋_GBK" w:cs="方正仿宋_GBK"/>
          <w:spacing w:val="0"/>
          <w:sz w:val="33"/>
          <w:szCs w:val="33"/>
          <w:lang w:eastAsia="zh-CN"/>
        </w:rPr>
        <w:t>召开后，市法学会起草了关于会议的主要精神及我</w:t>
      </w:r>
      <w:r>
        <w:rPr>
          <w:rFonts w:hint="eastAsia" w:ascii="宋体" w:hAnsi="宋体" w:eastAsia="方正仿宋_GBK" w:cs="方正仿宋_GBK"/>
          <w:spacing w:val="0"/>
          <w:sz w:val="33"/>
          <w:szCs w:val="33"/>
        </w:rPr>
        <w:t>市贯彻意见的报告</w:t>
      </w:r>
      <w:r>
        <w:rPr>
          <w:rFonts w:hint="eastAsia" w:ascii="宋体" w:hAnsi="宋体" w:eastAsia="方正仿宋_GBK" w:cs="方正仿宋_GBK"/>
          <w:spacing w:val="0"/>
          <w:sz w:val="33"/>
          <w:szCs w:val="33"/>
          <w:lang w:eastAsia="zh-CN"/>
        </w:rPr>
        <w:t>，市委书记元方作出了批示。市委常委、政法委书记、市法学会会长杜</w:t>
      </w:r>
      <w:r>
        <w:rPr>
          <w:rFonts w:hint="eastAsia" w:ascii="宋体" w:hAnsi="宋体" w:eastAsia="方正仿宋_GBK" w:cs="方正仿宋_GBK"/>
          <w:spacing w:val="0"/>
          <w:sz w:val="33"/>
          <w:szCs w:val="33"/>
        </w:rPr>
        <w:t>德清组织召开全市法学会工作推进会，就认真贯彻落实会议精神，扎实抓好全市法学会工作</w:t>
      </w:r>
      <w:r>
        <w:rPr>
          <w:rFonts w:hint="eastAsia" w:ascii="宋体" w:hAnsi="宋体" w:eastAsia="方正仿宋_GBK" w:cs="方正仿宋_GBK"/>
          <w:spacing w:val="0"/>
          <w:sz w:val="33"/>
          <w:szCs w:val="33"/>
          <w:lang w:eastAsia="zh-CN"/>
        </w:rPr>
        <w:t>提出要求</w:t>
      </w:r>
      <w:r>
        <w:rPr>
          <w:rFonts w:hint="eastAsia" w:ascii="宋体" w:hAnsi="宋体" w:eastAsia="方正仿宋_GBK" w:cs="方正仿宋_GBK"/>
          <w:spacing w:val="0"/>
          <w:sz w:val="33"/>
          <w:szCs w:val="33"/>
        </w:rPr>
        <w:t>。</w:t>
      </w:r>
      <w:r>
        <w:rPr>
          <w:rFonts w:hint="eastAsia" w:ascii="宋体" w:hAnsi="宋体" w:eastAsia="方正仿宋_GBK" w:cs="方正仿宋_GBK"/>
          <w:spacing w:val="0"/>
          <w:sz w:val="33"/>
          <w:szCs w:val="33"/>
          <w:lang w:eastAsia="zh-CN"/>
        </w:rPr>
        <w:t>杜</w:t>
      </w:r>
      <w:r>
        <w:rPr>
          <w:rFonts w:hint="eastAsia" w:ascii="宋体" w:hAnsi="宋体" w:eastAsia="方正仿宋_GBK" w:cs="方正仿宋_GBK"/>
          <w:spacing w:val="0"/>
          <w:sz w:val="33"/>
          <w:szCs w:val="33"/>
        </w:rPr>
        <w:t>德清对乐至县法学会“三全实战”模式推进基层社会治理现代化创新做法予</w:t>
      </w:r>
      <w:r>
        <w:rPr>
          <w:rFonts w:hint="eastAsia" w:ascii="宋体" w:hAnsi="宋体" w:eastAsia="方正仿宋_GBK" w:cs="方正仿宋_GBK"/>
          <w:spacing w:val="0"/>
          <w:sz w:val="33"/>
          <w:szCs w:val="33"/>
          <w:lang w:eastAsia="zh-CN"/>
        </w:rPr>
        <w:t>作出</w:t>
      </w:r>
      <w:r>
        <w:rPr>
          <w:rFonts w:hint="eastAsia" w:ascii="宋体" w:hAnsi="宋体" w:eastAsia="方正仿宋_GBK" w:cs="方正仿宋_GBK"/>
          <w:spacing w:val="0"/>
          <w:sz w:val="33"/>
          <w:szCs w:val="33"/>
        </w:rPr>
        <w:t>肯定</w:t>
      </w:r>
      <w:r>
        <w:rPr>
          <w:rFonts w:hint="eastAsia" w:ascii="宋体" w:hAnsi="宋体" w:eastAsia="方正仿宋_GBK" w:cs="方正仿宋_GBK"/>
          <w:spacing w:val="0"/>
          <w:sz w:val="33"/>
          <w:szCs w:val="33"/>
          <w:lang w:eastAsia="zh-CN"/>
        </w:rPr>
        <w:t>性</w:t>
      </w:r>
      <w:r>
        <w:rPr>
          <w:rFonts w:hint="eastAsia" w:ascii="宋体" w:hAnsi="宋体" w:eastAsia="方正仿宋_GBK" w:cs="方正仿宋_GBK"/>
          <w:spacing w:val="0"/>
          <w:sz w:val="33"/>
          <w:szCs w:val="33"/>
        </w:rPr>
        <w:t>批示，要求全市法学会系统认真学习借鉴，抓好经验推广，合力打造出更多具有资阳特色的创新品牌。</w:t>
      </w:r>
      <w:r>
        <w:rPr>
          <w:rFonts w:hint="eastAsia" w:ascii="宋体" w:hAnsi="宋体" w:eastAsia="方正黑体_GBK" w:cs="方正黑体_GBK"/>
          <w:b w:val="0"/>
          <w:bCs w:val="0"/>
          <w:spacing w:val="0"/>
          <w:sz w:val="32"/>
          <w:szCs w:val="32"/>
          <w:lang w:val="en" w:eastAsia="zh-CN"/>
        </w:rPr>
        <w:t>注重精细推动。</w:t>
      </w:r>
      <w:r>
        <w:rPr>
          <w:rFonts w:hint="eastAsia" w:ascii="宋体" w:hAnsi="宋体" w:eastAsia="方正仿宋_GBK" w:cs="方正仿宋_GBK"/>
          <w:spacing w:val="0"/>
          <w:sz w:val="33"/>
          <w:szCs w:val="33"/>
        </w:rPr>
        <w:t>认真梳理</w:t>
      </w:r>
      <w:r>
        <w:rPr>
          <w:rFonts w:hint="eastAsia" w:ascii="宋体" w:hAnsi="宋体" w:eastAsia="方正仿宋_GBK" w:cs="方正仿宋_GBK"/>
          <w:spacing w:val="0"/>
          <w:sz w:val="33"/>
          <w:szCs w:val="33"/>
          <w:lang w:eastAsia="zh-CN"/>
        </w:rPr>
        <w:t>全年重点工作，形成</w:t>
      </w:r>
      <w:r>
        <w:rPr>
          <w:rFonts w:hint="eastAsia" w:ascii="宋体" w:hAnsi="宋体" w:eastAsia="方正仿宋_GBK" w:cs="方正仿宋_GBK"/>
          <w:spacing w:val="0"/>
          <w:sz w:val="33"/>
          <w:szCs w:val="33"/>
        </w:rPr>
        <w:t>全市法学会工作要点，</w:t>
      </w:r>
      <w:r>
        <w:rPr>
          <w:rFonts w:hint="eastAsia" w:ascii="宋体" w:hAnsi="宋体" w:eastAsia="方正仿宋_GBK" w:cs="方正仿宋_GBK"/>
          <w:spacing w:val="0"/>
          <w:sz w:val="33"/>
          <w:szCs w:val="33"/>
          <w:lang w:eastAsia="zh-CN"/>
        </w:rPr>
        <w:t>明确</w:t>
      </w:r>
      <w:r>
        <w:rPr>
          <w:rFonts w:hint="eastAsia" w:ascii="宋体" w:hAnsi="宋体" w:eastAsia="方正仿宋_GBK" w:cs="方正仿宋_GBK"/>
          <w:spacing w:val="0"/>
          <w:sz w:val="33"/>
          <w:szCs w:val="33"/>
        </w:rPr>
        <w:t>提出15项重点任务。</w:t>
      </w:r>
      <w:r>
        <w:rPr>
          <w:rFonts w:hint="eastAsia" w:ascii="宋体" w:hAnsi="宋体" w:eastAsia="方正仿宋_GBK" w:cs="方正仿宋_GBK"/>
          <w:spacing w:val="0"/>
          <w:sz w:val="33"/>
          <w:szCs w:val="33"/>
          <w:lang w:eastAsia="zh-CN"/>
        </w:rPr>
        <w:t>及时</w:t>
      </w:r>
      <w:r>
        <w:rPr>
          <w:rFonts w:hint="eastAsia" w:ascii="宋体" w:hAnsi="宋体" w:eastAsia="方正仿宋_GBK" w:cs="方正仿宋_GBK"/>
          <w:spacing w:val="0"/>
          <w:sz w:val="33"/>
          <w:szCs w:val="33"/>
          <w:lang w:val="en-US" w:eastAsia="zh-CN"/>
        </w:rPr>
        <w:t>召开市法学会第二届理事会第二次常务理事（扩大）会议，通报表扬先进，围绕市委确定的“三件大事”“三大会战”“N项改革”，对开展法治宣传、推进法学研究、助推高质量发展等重点工作进行精细部署。大兴调查研究之风，深入各县（区）法学会、镇村开展调研督导，了解基层情况，收集意见建议，研究解决重点问题，进一步提升法学会实战化工作水平。</w:t>
      </w:r>
    </w:p>
    <w:p w14:paraId="633765B1">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hint="default" w:ascii="宋体" w:hAnsi="宋体" w:eastAsia="方正楷体_GBK" w:cs="方正楷体_GBK"/>
          <w:b/>
          <w:bCs/>
          <w:spacing w:val="0"/>
          <w:sz w:val="32"/>
          <w:szCs w:val="32"/>
          <w:lang w:val="en-US" w:eastAsia="zh-CN"/>
        </w:rPr>
      </w:pPr>
      <w:r>
        <w:rPr>
          <w:rFonts w:hint="eastAsia" w:ascii="宋体" w:hAnsi="宋体" w:eastAsia="方正仿宋_GBK" w:cs="方正仿宋_GBK"/>
          <w:b/>
          <w:bCs/>
          <w:spacing w:val="0"/>
          <w:kern w:val="2"/>
          <w:sz w:val="32"/>
          <w:szCs w:val="32"/>
          <w:lang w:val="en" w:eastAsia="zh-CN" w:bidi="ar-SA"/>
        </w:rPr>
        <w:t>二是始终围绕服务大局，落实重点任务。</w:t>
      </w:r>
      <w:r>
        <w:rPr>
          <w:rFonts w:hint="eastAsia" w:ascii="宋体" w:hAnsi="宋体" w:eastAsia="方正黑体_GBK" w:cs="方正黑体_GBK"/>
          <w:b w:val="0"/>
          <w:bCs w:val="0"/>
          <w:spacing w:val="0"/>
          <w:kern w:val="2"/>
          <w:sz w:val="32"/>
          <w:szCs w:val="32"/>
          <w:lang w:val="en-US" w:eastAsia="zh-CN" w:bidi="ar-SA"/>
        </w:rPr>
        <w:t>全力服务中心工作。</w:t>
      </w:r>
      <w:r>
        <w:rPr>
          <w:rFonts w:hint="eastAsia" w:ascii="宋体" w:hAnsi="宋体" w:eastAsia="方正仿宋_GBK" w:cs="方正仿宋_GBK"/>
          <w:spacing w:val="0"/>
          <w:sz w:val="33"/>
          <w:szCs w:val="33"/>
          <w:lang w:val="en-US" w:eastAsia="zh-CN"/>
        </w:rPr>
        <w:t>聚焦成渝地区双城经济圈建设、优化法治化营商环境、乡村振兴等重点领域，组织法学会会员</w:t>
      </w:r>
      <w:r>
        <w:rPr>
          <w:rFonts w:hint="eastAsia" w:ascii="宋体" w:hAnsi="宋体" w:eastAsia="方正仿宋_GBK" w:cs="方正仿宋_GBK"/>
          <w:spacing w:val="0"/>
          <w:sz w:val="33"/>
          <w:szCs w:val="33"/>
          <w:lang w:eastAsia="zh-CN"/>
        </w:rPr>
        <w:t>深入开展法理法学研究，市委政法委、市法学会研究成果《资阳市人口与婚姻变化情况分析报告》获市委书记元方肯定性批示。</w:t>
      </w:r>
      <w:r>
        <w:rPr>
          <w:rFonts w:hint="eastAsia" w:ascii="宋体" w:hAnsi="宋体" w:eastAsia="方正仿宋_GBK" w:cs="方正仿宋_GBK"/>
          <w:spacing w:val="0"/>
          <w:sz w:val="33"/>
          <w:szCs w:val="33"/>
          <w:lang w:val="en-US" w:eastAsia="zh-CN"/>
        </w:rPr>
        <w:t>积极参与</w:t>
      </w:r>
      <w:r>
        <w:rPr>
          <w:rFonts w:hint="eastAsia" w:ascii="宋体" w:hAnsi="宋体" w:eastAsia="方正仿宋_GBK" w:cs="方正仿宋_GBK"/>
          <w:spacing w:val="0"/>
          <w:sz w:val="33"/>
          <w:szCs w:val="33"/>
        </w:rPr>
        <w:t>第十八届“泛珠三角合作与发展法治论坛”</w:t>
      </w:r>
      <w:r>
        <w:rPr>
          <w:rFonts w:hint="eastAsia" w:ascii="宋体" w:hAnsi="宋体" w:eastAsia="方正仿宋_GBK" w:cs="方正仿宋_GBK"/>
          <w:spacing w:val="0"/>
          <w:sz w:val="33"/>
          <w:szCs w:val="33"/>
          <w:lang w:eastAsia="zh-CN"/>
        </w:rPr>
        <w:t>、</w:t>
      </w:r>
      <w:r>
        <w:rPr>
          <w:rFonts w:hint="eastAsia" w:ascii="宋体" w:hAnsi="宋体" w:eastAsia="方正仿宋_GBK" w:cs="方正仿宋_GBK"/>
          <w:spacing w:val="0"/>
          <w:sz w:val="33"/>
          <w:szCs w:val="33"/>
        </w:rPr>
        <w:t>第十八届</w:t>
      </w:r>
      <w:r>
        <w:rPr>
          <w:rFonts w:hint="eastAsia" w:ascii="宋体" w:hAnsi="宋体" w:eastAsia="方正仿宋_GBK" w:cs="方正仿宋_GBK"/>
          <w:spacing w:val="0"/>
          <w:sz w:val="33"/>
          <w:szCs w:val="33"/>
          <w:lang w:eastAsia="zh-CN"/>
        </w:rPr>
        <w:t>“</w:t>
      </w:r>
      <w:r>
        <w:rPr>
          <w:rFonts w:hint="eastAsia" w:ascii="宋体" w:hAnsi="宋体" w:eastAsia="方正仿宋_GBK" w:cs="方正仿宋_GBK"/>
          <w:spacing w:val="0"/>
          <w:sz w:val="33"/>
          <w:szCs w:val="33"/>
        </w:rPr>
        <w:t>西部法治论坛</w:t>
      </w:r>
      <w:r>
        <w:rPr>
          <w:rFonts w:hint="eastAsia" w:ascii="宋体" w:hAnsi="宋体" w:eastAsia="方正仿宋_GBK" w:cs="方正仿宋_GBK"/>
          <w:spacing w:val="0"/>
          <w:sz w:val="33"/>
          <w:szCs w:val="33"/>
          <w:lang w:eastAsia="zh-CN"/>
        </w:rPr>
        <w:t>”、第九届“治蜀兴川”</w:t>
      </w:r>
      <w:r>
        <w:rPr>
          <w:rFonts w:hint="eastAsia" w:ascii="宋体" w:hAnsi="宋体" w:eastAsia="方正仿宋_GBK" w:cs="方正仿宋_GBK"/>
          <w:spacing w:val="0"/>
          <w:sz w:val="33"/>
          <w:szCs w:val="33"/>
        </w:rPr>
        <w:t>法治论坛</w:t>
      </w:r>
      <w:r>
        <w:rPr>
          <w:rFonts w:hint="eastAsia" w:ascii="宋体" w:hAnsi="宋体" w:eastAsia="方正仿宋_GBK" w:cs="方正仿宋_GBK"/>
          <w:spacing w:val="0"/>
          <w:sz w:val="33"/>
          <w:szCs w:val="33"/>
          <w:lang w:eastAsia="zh-CN"/>
        </w:rPr>
        <w:t>等重大论坛论文活动，全年共征集优质法学论文</w:t>
      </w:r>
      <w:r>
        <w:rPr>
          <w:rFonts w:hint="eastAsia" w:ascii="宋体" w:hAnsi="宋体" w:eastAsia="方正仿宋_GBK" w:cs="方正仿宋_GBK"/>
          <w:spacing w:val="0"/>
          <w:sz w:val="33"/>
          <w:szCs w:val="33"/>
          <w:lang w:val="en-US" w:eastAsia="zh-CN"/>
        </w:rPr>
        <w:t>141篇，获得各类奖项10个。其中，安岳县法院张慧东撰写论文获</w:t>
      </w:r>
      <w:r>
        <w:rPr>
          <w:rFonts w:hint="eastAsia" w:ascii="宋体" w:hAnsi="宋体" w:eastAsia="方正仿宋_GBK" w:cs="方正仿宋_GBK"/>
          <w:spacing w:val="0"/>
          <w:sz w:val="33"/>
          <w:szCs w:val="33"/>
          <w:lang w:eastAsia="zh-CN"/>
        </w:rPr>
        <w:t>“</w:t>
      </w:r>
      <w:r>
        <w:rPr>
          <w:rFonts w:hint="eastAsia" w:ascii="宋体" w:hAnsi="宋体" w:eastAsia="方正仿宋_GBK" w:cs="方正仿宋_GBK"/>
          <w:spacing w:val="0"/>
          <w:sz w:val="33"/>
          <w:szCs w:val="33"/>
        </w:rPr>
        <w:t>西部法治论坛</w:t>
      </w:r>
      <w:r>
        <w:rPr>
          <w:rFonts w:hint="eastAsia" w:ascii="宋体" w:hAnsi="宋体" w:eastAsia="方正仿宋_GBK" w:cs="方正仿宋_GBK"/>
          <w:spacing w:val="0"/>
          <w:sz w:val="33"/>
          <w:szCs w:val="33"/>
          <w:lang w:eastAsia="zh-CN"/>
        </w:rPr>
        <w:t>”</w:t>
      </w:r>
      <w:r>
        <w:rPr>
          <w:rFonts w:hint="eastAsia" w:ascii="宋体" w:hAnsi="宋体" w:eastAsia="方正仿宋_GBK" w:cs="方正仿宋_GBK"/>
          <w:spacing w:val="0"/>
          <w:sz w:val="33"/>
          <w:szCs w:val="33"/>
          <w:lang w:val="en-US" w:eastAsia="zh-CN"/>
        </w:rPr>
        <w:t>四川省唯一一篇一等奖，市中院杨江涛在第二届冰雪运动法治保障学术研讨会上作交流发言，市法会荣获第</w:t>
      </w:r>
      <w:r>
        <w:rPr>
          <w:rFonts w:hint="eastAsia" w:ascii="宋体" w:hAnsi="宋体" w:eastAsia="方正仿宋_GBK" w:cs="方正仿宋_GBK"/>
          <w:spacing w:val="0"/>
          <w:sz w:val="33"/>
          <w:szCs w:val="33"/>
          <w:lang w:eastAsia="zh-CN"/>
        </w:rPr>
        <w:t>九届“治蜀兴川”</w:t>
      </w:r>
      <w:r>
        <w:rPr>
          <w:rFonts w:hint="eastAsia" w:ascii="宋体" w:hAnsi="宋体" w:eastAsia="方正仿宋_GBK" w:cs="方正仿宋_GBK"/>
          <w:spacing w:val="0"/>
          <w:sz w:val="33"/>
          <w:szCs w:val="33"/>
        </w:rPr>
        <w:t>法治论坛</w:t>
      </w:r>
      <w:r>
        <w:rPr>
          <w:rFonts w:hint="eastAsia" w:ascii="宋体" w:hAnsi="宋体" w:eastAsia="方正仿宋_GBK" w:cs="方正仿宋_GBK"/>
          <w:spacing w:val="0"/>
          <w:sz w:val="33"/>
          <w:szCs w:val="33"/>
          <w:lang w:eastAsia="zh-CN"/>
        </w:rPr>
        <w:t>优秀组织单位。</w:t>
      </w:r>
      <w:r>
        <w:rPr>
          <w:rFonts w:hint="eastAsia" w:ascii="宋体" w:hAnsi="宋体" w:eastAsia="方正仿宋_GBK" w:cs="方正仿宋_GBK"/>
          <w:color w:val="auto"/>
          <w:spacing w:val="0"/>
          <w:kern w:val="2"/>
          <w:sz w:val="33"/>
          <w:szCs w:val="33"/>
          <w:lang w:val="en-US" w:eastAsia="zh-CN" w:bidi="ar-SA"/>
        </w:rPr>
        <w:t>《跨行政区域企业投诉处理协作机制实践探索》纳入《法治蓝皮书·四川依法治省年度报告（2023）》。</w:t>
      </w:r>
      <w:r>
        <w:rPr>
          <w:rFonts w:hint="eastAsia" w:ascii="宋体" w:hAnsi="宋体" w:eastAsia="方正黑体_GBK" w:cs="方正黑体_GBK"/>
          <w:b w:val="0"/>
          <w:bCs w:val="0"/>
          <w:spacing w:val="0"/>
          <w:kern w:val="2"/>
          <w:sz w:val="32"/>
          <w:szCs w:val="32"/>
          <w:lang w:val="en-US" w:eastAsia="zh-CN" w:bidi="ar-SA"/>
        </w:rPr>
        <w:t>持续优化营商环境。</w:t>
      </w:r>
      <w:r>
        <w:rPr>
          <w:rFonts w:hint="eastAsia" w:ascii="宋体" w:hAnsi="宋体" w:eastAsia="方正仿宋简体"/>
          <w:spacing w:val="0"/>
          <w:sz w:val="33"/>
          <w:szCs w:val="33"/>
        </w:rPr>
        <w:t>创新推进“政法护企行”活动，</w:t>
      </w:r>
      <w:r>
        <w:rPr>
          <w:rFonts w:hint="eastAsia" w:ascii="宋体" w:hAnsi="宋体" w:eastAsia="方正仿宋简体"/>
          <w:spacing w:val="0"/>
          <w:sz w:val="33"/>
          <w:szCs w:val="33"/>
          <w:lang w:eastAsia="zh-CN"/>
        </w:rPr>
        <w:t>充分发挥政法机关法学会会员的专业优势，组织政法机关法学会会员深入走访园区企业</w:t>
      </w:r>
      <w:r>
        <w:rPr>
          <w:rFonts w:hint="eastAsia" w:ascii="宋体" w:hAnsi="宋体" w:eastAsia="方正仿宋简体"/>
          <w:spacing w:val="0"/>
          <w:sz w:val="33"/>
          <w:szCs w:val="33"/>
          <w:lang w:val="en-US" w:eastAsia="zh-CN"/>
        </w:rPr>
        <w:t>486家</w:t>
      </w:r>
      <w:r>
        <w:rPr>
          <w:rFonts w:hint="eastAsia" w:ascii="宋体" w:hAnsi="宋体" w:eastAsia="方正仿宋简体"/>
          <w:spacing w:val="0"/>
          <w:sz w:val="33"/>
          <w:szCs w:val="33"/>
          <w:lang w:eastAsia="zh-CN"/>
        </w:rPr>
        <w:t>，开展专项法律培训</w:t>
      </w:r>
      <w:r>
        <w:rPr>
          <w:rFonts w:hint="eastAsia" w:ascii="宋体" w:hAnsi="宋体" w:eastAsia="方正仿宋简体"/>
          <w:spacing w:val="0"/>
          <w:sz w:val="33"/>
          <w:szCs w:val="33"/>
          <w:lang w:val="en-US" w:eastAsia="zh-CN"/>
        </w:rPr>
        <w:t>71场次</w:t>
      </w:r>
      <w:r>
        <w:rPr>
          <w:rFonts w:hint="eastAsia" w:ascii="宋体" w:hAnsi="宋体" w:eastAsia="方正仿宋简体"/>
          <w:spacing w:val="0"/>
          <w:sz w:val="33"/>
          <w:szCs w:val="33"/>
          <w:lang w:eastAsia="zh-CN"/>
        </w:rPr>
        <w:t>，出台服务保障措施</w:t>
      </w:r>
      <w:r>
        <w:rPr>
          <w:rFonts w:hint="eastAsia" w:ascii="宋体" w:hAnsi="宋体" w:eastAsia="方正仿宋简体"/>
          <w:spacing w:val="0"/>
          <w:sz w:val="33"/>
          <w:szCs w:val="33"/>
          <w:lang w:val="en-US" w:eastAsia="zh-CN"/>
        </w:rPr>
        <w:t>289条，</w:t>
      </w:r>
      <w:r>
        <w:rPr>
          <w:rFonts w:hint="eastAsia" w:ascii="宋体" w:hAnsi="宋体" w:eastAsia="方正仿宋简体"/>
          <w:spacing w:val="0"/>
          <w:sz w:val="33"/>
          <w:szCs w:val="33"/>
          <w:lang w:eastAsia="zh-CN"/>
        </w:rPr>
        <w:t>并</w:t>
      </w:r>
      <w:r>
        <w:rPr>
          <w:rFonts w:hint="eastAsia" w:ascii="宋体" w:hAnsi="宋体" w:eastAsia="方正仿宋简体"/>
          <w:spacing w:val="0"/>
          <w:sz w:val="33"/>
          <w:szCs w:val="33"/>
        </w:rPr>
        <w:t>以深入整治服务保障高质量发展中存在问题为具体抓手，持续更新执法司法理念，优化法治供给，</w:t>
      </w:r>
      <w:r>
        <w:rPr>
          <w:rFonts w:hint="eastAsia" w:ascii="宋体" w:hAnsi="宋体" w:eastAsia="方正仿宋简体"/>
          <w:spacing w:val="0"/>
          <w:sz w:val="33"/>
          <w:szCs w:val="33"/>
          <w:lang w:val="en-US" w:eastAsia="zh-CN"/>
        </w:rPr>
        <w:t>持续优化法治化营商环境，</w:t>
      </w:r>
      <w:r>
        <w:rPr>
          <w:rFonts w:hint="eastAsia" w:ascii="宋体" w:hAnsi="宋体" w:eastAsia="方正仿宋_GBK" w:cs="方正仿宋_GBK"/>
          <w:spacing w:val="0"/>
          <w:sz w:val="33"/>
          <w:szCs w:val="33"/>
          <w:lang w:val="en-US" w:eastAsia="zh-CN"/>
        </w:rPr>
        <w:t>群众对行政执法突出问题整治满意率达</w:t>
      </w:r>
      <w:r>
        <w:rPr>
          <w:rFonts w:hint="eastAsia" w:ascii="宋体" w:hAnsi="宋体" w:eastAsia="宋体" w:cs="宋体"/>
          <w:spacing w:val="0"/>
          <w:sz w:val="33"/>
          <w:szCs w:val="33"/>
          <w:lang w:val="en-US" w:eastAsia="zh-CN"/>
        </w:rPr>
        <w:t>99%</w:t>
      </w:r>
      <w:r>
        <w:rPr>
          <w:rFonts w:hint="eastAsia" w:ascii="宋体" w:hAnsi="宋体" w:eastAsia="方正仿宋_GBK" w:cs="方正仿宋_GBK"/>
          <w:spacing w:val="0"/>
          <w:sz w:val="33"/>
          <w:szCs w:val="33"/>
          <w:lang w:val="en-US" w:eastAsia="zh-CN"/>
        </w:rPr>
        <w:t>。</w:t>
      </w:r>
      <w:r>
        <w:rPr>
          <w:rFonts w:hint="eastAsia" w:ascii="宋体" w:hAnsi="宋体" w:eastAsia="方正仿宋_GBK" w:cs="方正仿宋_GBK"/>
          <w:color w:val="auto"/>
          <w:spacing w:val="0"/>
          <w:kern w:val="2"/>
          <w:sz w:val="33"/>
          <w:szCs w:val="33"/>
          <w:lang w:val="en-US" w:eastAsia="zh-CN" w:bidi="ar-SA"/>
        </w:rPr>
        <w:t>采取“典型案例+司法建议+政府纪要”方式，推动解决县区问题楼盘办证难问题，化解潜在诉讼万余起、涉及两万多人。</w:t>
      </w:r>
      <w:r>
        <w:rPr>
          <w:rFonts w:hint="eastAsia" w:ascii="宋体" w:hAnsi="宋体" w:eastAsia="方正黑体_GBK" w:cs="方正黑体_GBK"/>
          <w:b w:val="0"/>
          <w:bCs w:val="0"/>
          <w:spacing w:val="0"/>
          <w:kern w:val="2"/>
          <w:sz w:val="32"/>
          <w:szCs w:val="32"/>
          <w:lang w:val="en-US" w:eastAsia="zh-CN" w:bidi="ar-SA"/>
        </w:rPr>
        <w:t>推进平安联建联创。</w:t>
      </w:r>
      <w:r>
        <w:rPr>
          <w:rFonts w:hint="eastAsia" w:ascii="宋体" w:hAnsi="宋体" w:eastAsia="方正仿宋_GBK" w:cs="方正仿宋_GBK"/>
          <w:color w:val="auto"/>
          <w:spacing w:val="0"/>
          <w:kern w:val="2"/>
          <w:sz w:val="33"/>
          <w:szCs w:val="33"/>
          <w:lang w:val="en-US" w:eastAsia="zh-CN" w:bidi="ar-SA"/>
        </w:rPr>
        <w:t>充分运用法治创新实践课题研究成果，指导安岳县聚焦边界地区矛盾多发、治安复杂、治理薄弱等问题，推动川渝边界毗邻地区平安联建联创，该做法得到省委、省委政法委领导充分肯定。策划</w:t>
      </w:r>
      <w:r>
        <w:rPr>
          <w:rFonts w:hint="eastAsia" w:ascii="宋体" w:hAnsi="宋体" w:eastAsia="方正仿宋简体"/>
          <w:spacing w:val="0"/>
          <w:sz w:val="33"/>
          <w:szCs w:val="33"/>
          <w:lang w:val="en-US" w:eastAsia="zh-CN"/>
        </w:rPr>
        <w:t>参与首届环资阳地区平安建设边际协作交流会，</w:t>
      </w:r>
      <w:r>
        <w:rPr>
          <w:rFonts w:hint="default" w:ascii="宋体" w:hAnsi="宋体" w:eastAsia="方正仿宋简体"/>
          <w:spacing w:val="0"/>
          <w:sz w:val="33"/>
          <w:szCs w:val="33"/>
          <w:lang w:val="en-US" w:eastAsia="zh-CN"/>
        </w:rPr>
        <w:t>设置法治讲座、法治问答、互动提问、赠送法治大礼包等多个环节营造浓厚氛围</w:t>
      </w:r>
      <w:r>
        <w:rPr>
          <w:rFonts w:hint="eastAsia" w:ascii="宋体" w:hAnsi="宋体" w:eastAsia="方正仿宋简体"/>
          <w:spacing w:val="0"/>
          <w:sz w:val="33"/>
          <w:szCs w:val="33"/>
          <w:lang w:val="en-US" w:eastAsia="zh-CN"/>
        </w:rPr>
        <w:t>，川渝九地围绕“共建、共治、共享”目标，在更宽领域、更深层次、更高水平上加强合作交流，并签署环资阳地区平安建设边际协作战略合作协议，在创平安边际协作上迈出新步伐。</w:t>
      </w:r>
    </w:p>
    <w:p w14:paraId="7200756A">
      <w:pPr>
        <w:pStyle w:val="2"/>
        <w:keepNext w:val="0"/>
        <w:keepLines w:val="0"/>
        <w:pageBreakBefore w:val="0"/>
        <w:kinsoku/>
        <w:wordWrap/>
        <w:overflowPunct/>
        <w:topLinePunct w:val="0"/>
        <w:autoSpaceDE/>
        <w:autoSpaceDN/>
        <w:bidi w:val="0"/>
        <w:adjustRightInd/>
        <w:snapToGrid/>
        <w:spacing w:after="0" w:line="590" w:lineRule="exact"/>
        <w:ind w:firstLine="643" w:firstLineChars="200"/>
        <w:textAlignment w:val="auto"/>
        <w:rPr>
          <w:rFonts w:hint="eastAsia" w:ascii="宋体" w:hAnsi="宋体" w:eastAsia="仿宋_GB2312" w:cs="方正仿宋_GBK"/>
          <w:spacing w:val="0"/>
          <w:sz w:val="33"/>
          <w:szCs w:val="33"/>
          <w:lang w:val="en-US" w:eastAsia="zh-CN"/>
        </w:rPr>
      </w:pPr>
      <w:r>
        <w:rPr>
          <w:rFonts w:hint="eastAsia" w:ascii="宋体" w:hAnsi="宋体" w:eastAsia="方正仿宋_GBK" w:cs="方正仿宋_GBK"/>
          <w:b/>
          <w:bCs/>
          <w:spacing w:val="0"/>
          <w:sz w:val="32"/>
          <w:szCs w:val="32"/>
          <w:lang w:val="en" w:eastAsia="zh-CN"/>
        </w:rPr>
        <w:t>三是始终坚持守正创新，打造特色品牌。</w:t>
      </w:r>
      <w:r>
        <w:rPr>
          <w:rFonts w:hint="eastAsia" w:ascii="宋体" w:hAnsi="宋体" w:eastAsia="方正黑体_GBK" w:cs="方正黑体_GBK"/>
          <w:b w:val="0"/>
          <w:bCs w:val="0"/>
          <w:spacing w:val="0"/>
          <w:sz w:val="32"/>
          <w:szCs w:val="32"/>
          <w:lang w:val="en-US" w:eastAsia="zh-CN"/>
        </w:rPr>
        <w:t>首席专家制度建设提质增效。</w:t>
      </w:r>
      <w:r>
        <w:rPr>
          <w:rFonts w:hint="eastAsia" w:ascii="宋体" w:hAnsi="宋体" w:eastAsia="方正仿宋简体"/>
          <w:spacing w:val="0"/>
          <w:sz w:val="33"/>
          <w:szCs w:val="33"/>
          <w:lang w:val="en-US" w:eastAsia="zh-CN"/>
        </w:rPr>
        <w:t>持续深化首席法律咨询专家制度建设工作，召开全市首席法律咨询专家专题座谈会，动员律师、法官、检察官等法律实务工作者积极参与到“四个重大”。</w:t>
      </w:r>
      <w:r>
        <w:rPr>
          <w:rFonts w:hint="eastAsia" w:ascii="宋体" w:hAnsi="宋体" w:eastAsia="方正仿宋_GBK" w:cs="方正仿宋_GBK"/>
          <w:spacing w:val="0"/>
          <w:sz w:val="33"/>
          <w:szCs w:val="33"/>
          <w:lang w:val="en-US" w:eastAsia="zh-CN"/>
        </w:rPr>
        <w:t>全力指导安岳县法学会推动“首席+”创新工作，选优配强24名首席法律咨询专家，聚焦“问题楼盘”“信访难案”“行业纠纷”“边界纠纷”等方面进行把脉问诊，被多家省市媒体关注报道。</w:t>
      </w:r>
      <w:r>
        <w:rPr>
          <w:rFonts w:hint="eastAsia" w:ascii="宋体" w:hAnsi="宋体" w:eastAsia="方正仿宋_GBK" w:cs="方正仿宋_GBK"/>
          <w:spacing w:val="0"/>
          <w:sz w:val="33"/>
          <w:szCs w:val="33"/>
          <w:lang w:eastAsia="zh-CN"/>
        </w:rPr>
        <w:t>加强经典案例的归纳总结报送，</w:t>
      </w:r>
      <w:r>
        <w:rPr>
          <w:rFonts w:hint="eastAsia" w:ascii="宋体" w:hAnsi="宋体" w:eastAsia="方正仿宋_GBK" w:cs="方正仿宋_GBK"/>
          <w:spacing w:val="0"/>
          <w:sz w:val="33"/>
          <w:szCs w:val="33"/>
        </w:rPr>
        <w:t>成安渝高速公路有限公司破产案</w:t>
      </w:r>
      <w:r>
        <w:rPr>
          <w:rFonts w:hint="eastAsia" w:ascii="宋体" w:hAnsi="宋体" w:eastAsia="方正仿宋_GBK" w:cs="方正仿宋_GBK"/>
          <w:spacing w:val="0"/>
          <w:sz w:val="33"/>
          <w:szCs w:val="33"/>
          <w:lang w:eastAsia="zh-CN"/>
        </w:rPr>
        <w:t>等</w:t>
      </w:r>
      <w:r>
        <w:rPr>
          <w:rFonts w:hint="eastAsia" w:ascii="宋体" w:hAnsi="宋体" w:eastAsia="方正仿宋_GBK" w:cs="方正仿宋_GBK"/>
          <w:spacing w:val="0"/>
          <w:sz w:val="33"/>
          <w:szCs w:val="33"/>
          <w:lang w:val="en-US" w:eastAsia="zh-CN"/>
        </w:rPr>
        <w:t>5个案例入选四川</w:t>
      </w:r>
      <w:r>
        <w:rPr>
          <w:rFonts w:hint="eastAsia" w:ascii="宋体" w:hAnsi="宋体" w:eastAsia="方正仿宋_GBK" w:cs="方正仿宋_GBK"/>
          <w:spacing w:val="0"/>
          <w:sz w:val="33"/>
          <w:szCs w:val="33"/>
        </w:rPr>
        <w:t>省推进首席法律咨询专家制度典型案例</w:t>
      </w:r>
      <w:r>
        <w:rPr>
          <w:rFonts w:hint="eastAsia" w:ascii="宋体" w:hAnsi="宋体" w:eastAsia="方正仿宋_GBK" w:cs="方正仿宋_GBK"/>
          <w:spacing w:val="0"/>
          <w:sz w:val="33"/>
          <w:szCs w:val="33"/>
          <w:lang w:eastAsia="zh-CN"/>
        </w:rPr>
        <w:t>选编。</w:t>
      </w:r>
      <w:r>
        <w:rPr>
          <w:rFonts w:hint="eastAsia" w:ascii="宋体" w:hAnsi="宋体" w:eastAsia="方正黑体_GBK" w:cs="方正黑体_GBK"/>
          <w:b w:val="0"/>
          <w:bCs w:val="0"/>
          <w:spacing w:val="0"/>
          <w:sz w:val="32"/>
          <w:szCs w:val="32"/>
          <w:lang w:val="en-US" w:eastAsia="zh-CN"/>
        </w:rPr>
        <w:t>“三全实战”模式全市推广。</w:t>
      </w:r>
      <w:r>
        <w:rPr>
          <w:rFonts w:hint="eastAsia" w:ascii="宋体" w:hAnsi="宋体" w:eastAsia="方正仿宋_GBK" w:cs="方正仿宋_GBK"/>
          <w:spacing w:val="0"/>
          <w:sz w:val="33"/>
          <w:szCs w:val="33"/>
          <w:lang w:val="en-US" w:eastAsia="zh-CN"/>
        </w:rPr>
        <w:t>持续深入打造法学会实战化特色工作，《“三全实战”模式推进基层社会治理现代化 四川省乐至县法学会探索“实战化”工作新路径》被《民主与法制时报》头版头条刊载。组织在全市法学会系统</w:t>
      </w:r>
      <w:r>
        <w:rPr>
          <w:rFonts w:hint="eastAsia" w:ascii="宋体" w:hAnsi="宋体" w:eastAsia="方正仿宋_GBK" w:cs="方正仿宋_GBK"/>
          <w:spacing w:val="0"/>
          <w:sz w:val="33"/>
          <w:szCs w:val="33"/>
        </w:rPr>
        <w:t>在乐至县回澜镇召开</w:t>
      </w:r>
      <w:r>
        <w:rPr>
          <w:rFonts w:hint="eastAsia" w:ascii="宋体" w:hAnsi="宋体" w:eastAsia="方正仿宋_GBK" w:cs="方正仿宋_GBK"/>
          <w:spacing w:val="0"/>
          <w:sz w:val="33"/>
          <w:szCs w:val="33"/>
          <w:lang w:eastAsia="zh-CN"/>
        </w:rPr>
        <w:t>全市法学会</w:t>
      </w:r>
      <w:r>
        <w:rPr>
          <w:rFonts w:hint="eastAsia" w:ascii="宋体" w:hAnsi="宋体" w:eastAsia="方正仿宋_GBK" w:cs="方正仿宋_GBK"/>
          <w:spacing w:val="0"/>
          <w:sz w:val="33"/>
          <w:szCs w:val="33"/>
        </w:rPr>
        <w:t>创新工作现场推进会</w:t>
      </w:r>
      <w:r>
        <w:rPr>
          <w:rFonts w:hint="eastAsia" w:ascii="宋体" w:hAnsi="宋体" w:eastAsia="方正仿宋_GBK" w:cs="方正仿宋_GBK"/>
          <w:spacing w:val="0"/>
          <w:sz w:val="33"/>
          <w:szCs w:val="33"/>
          <w:lang w:eastAsia="zh-CN"/>
        </w:rPr>
        <w:t>，对</w:t>
      </w:r>
      <w:r>
        <w:rPr>
          <w:rFonts w:hint="eastAsia" w:ascii="宋体" w:hAnsi="宋体" w:eastAsia="方正仿宋_GBK" w:cs="方正仿宋_GBK"/>
          <w:spacing w:val="0"/>
          <w:sz w:val="33"/>
          <w:szCs w:val="33"/>
        </w:rPr>
        <w:t>学习</w:t>
      </w:r>
      <w:r>
        <w:rPr>
          <w:rFonts w:hint="eastAsia" w:ascii="宋体" w:hAnsi="宋体" w:eastAsia="方正仿宋_GBK" w:cs="方正仿宋_GBK"/>
          <w:spacing w:val="0"/>
          <w:sz w:val="33"/>
          <w:szCs w:val="33"/>
          <w:lang w:eastAsia="zh-CN"/>
        </w:rPr>
        <w:t>推广</w:t>
      </w:r>
      <w:r>
        <w:rPr>
          <w:rFonts w:hint="eastAsia" w:ascii="宋体" w:hAnsi="宋体" w:eastAsia="方正仿宋_GBK" w:cs="方正仿宋_GBK"/>
          <w:spacing w:val="0"/>
          <w:sz w:val="33"/>
          <w:szCs w:val="33"/>
        </w:rPr>
        <w:t>“三全实战”经验</w:t>
      </w:r>
      <w:r>
        <w:rPr>
          <w:rFonts w:hint="eastAsia" w:ascii="宋体" w:hAnsi="宋体" w:eastAsia="方正仿宋_GBK" w:cs="方正仿宋_GBK"/>
          <w:spacing w:val="0"/>
          <w:sz w:val="33"/>
          <w:szCs w:val="33"/>
          <w:lang w:eastAsia="zh-CN"/>
        </w:rPr>
        <w:t>进行专门部署。市委政法委、市法学会联合印发全市推广“三全实战”模式指导性文件，统一目标任务、具体要求和时间步骤，确保了推进质效。</w:t>
      </w:r>
      <w:r>
        <w:rPr>
          <w:rFonts w:hint="eastAsia" w:ascii="宋体" w:hAnsi="宋体" w:eastAsia="方正黑体_GBK" w:cs="方正黑体_GBK"/>
          <w:b w:val="0"/>
          <w:bCs w:val="0"/>
          <w:spacing w:val="0"/>
          <w:sz w:val="32"/>
          <w:szCs w:val="32"/>
          <w:lang w:val="en-US" w:eastAsia="zh-CN"/>
        </w:rPr>
        <w:t>融媒体创新项目推进有力。</w:t>
      </w:r>
      <w:r>
        <w:rPr>
          <w:rFonts w:hint="eastAsia" w:ascii="宋体" w:hAnsi="宋体" w:eastAsia="方正仿宋_GBK" w:cs="方正仿宋_GBK"/>
          <w:spacing w:val="0"/>
          <w:sz w:val="33"/>
          <w:szCs w:val="33"/>
          <w:lang w:eastAsia="zh-CN"/>
        </w:rPr>
        <w:t>认真落实关于上级加强法学会融媒体中心建设的工作要求，创新开设《“小资话平安”法治宣传融媒体栏目》，成功申报为省委政法委、省法学会</w:t>
      </w:r>
      <w:r>
        <w:rPr>
          <w:rFonts w:hint="eastAsia" w:ascii="宋体" w:hAnsi="宋体" w:eastAsia="方正仿宋_GBK" w:cs="方正仿宋_GBK"/>
          <w:spacing w:val="0"/>
          <w:sz w:val="33"/>
          <w:szCs w:val="33"/>
          <w:lang w:val="en-US" w:eastAsia="zh-CN"/>
        </w:rPr>
        <w:t>2023年度</w:t>
      </w:r>
      <w:r>
        <w:rPr>
          <w:rFonts w:hint="eastAsia" w:ascii="宋体" w:hAnsi="宋体" w:eastAsia="方正仿宋_GBK" w:cs="方正仿宋_GBK"/>
          <w:spacing w:val="0"/>
          <w:sz w:val="33"/>
          <w:szCs w:val="33"/>
          <w:lang w:eastAsia="zh-CN"/>
        </w:rPr>
        <w:t>融媒体中心建设创新示范项目，以信息化推动平台融合、特色化推动产品融合、系统化推动工作融合的“三化”融合模式有力推动，该做法在全省法学系统</w:t>
      </w:r>
      <w:r>
        <w:rPr>
          <w:rFonts w:hint="eastAsia" w:ascii="宋体" w:hAnsi="宋体" w:eastAsia="方正仿宋_GBK" w:cs="方正仿宋_GBK"/>
          <w:spacing w:val="0"/>
          <w:sz w:val="33"/>
          <w:szCs w:val="33"/>
          <w:lang w:val="en-US" w:eastAsia="zh-CN"/>
        </w:rPr>
        <w:t>综合</w:t>
      </w:r>
      <w:r>
        <w:rPr>
          <w:rFonts w:hint="eastAsia" w:ascii="宋体" w:hAnsi="宋体" w:eastAsia="方正仿宋_GBK" w:cs="方正仿宋_GBK"/>
          <w:spacing w:val="0"/>
          <w:sz w:val="33"/>
          <w:szCs w:val="33"/>
          <w:lang w:eastAsia="zh-CN"/>
        </w:rPr>
        <w:t>信息管理系统培训暨通讯员培训会上作交流发言。</w:t>
      </w:r>
      <w:r>
        <w:rPr>
          <w:rFonts w:hint="eastAsia" w:ascii="宋体" w:hAnsi="宋体" w:eastAsia="方正黑体_GBK" w:cs="方正黑体_GBK"/>
          <w:b w:val="0"/>
          <w:bCs w:val="0"/>
          <w:spacing w:val="0"/>
          <w:sz w:val="32"/>
          <w:szCs w:val="32"/>
          <w:lang w:val="en-US" w:eastAsia="zh-CN"/>
        </w:rPr>
        <w:t>普法宣传多点多面。</w:t>
      </w:r>
      <w:r>
        <w:rPr>
          <w:rFonts w:hint="eastAsia" w:ascii="宋体" w:hAnsi="宋体" w:eastAsia="仿宋" w:cs="仿宋"/>
          <w:spacing w:val="0"/>
          <w:sz w:val="33"/>
          <w:szCs w:val="33"/>
          <w:lang w:val="en-US" w:eastAsia="zh-CN"/>
        </w:rPr>
        <w:t>围绕国家安全、疫情防控、生态环境、乡村振兴、基层治理、宪法法律等方面开展34项普法活动，分层组建</w:t>
      </w:r>
      <w:r>
        <w:rPr>
          <w:rFonts w:hint="eastAsia" w:ascii="宋体" w:hAnsi="宋体" w:eastAsia="仿宋" w:cs="仿宋"/>
          <w:spacing w:val="0"/>
          <w:kern w:val="0"/>
          <w:sz w:val="32"/>
          <w:szCs w:val="32"/>
          <w:lang w:eastAsia="zh-CN"/>
        </w:rPr>
        <w:t>“法治大讲堂”宣讲团，创新成立“红细胞”普法志愿服务队，打造“懂了么”“雁晓法”“安柠说法”等特色普法品牌</w:t>
      </w:r>
      <w:r>
        <w:rPr>
          <w:rFonts w:hint="eastAsia" w:ascii="宋体" w:hAnsi="宋体" w:eastAsia="仿宋" w:cs="仿宋"/>
          <w:spacing w:val="0"/>
          <w:kern w:val="0"/>
          <w:sz w:val="32"/>
          <w:szCs w:val="32"/>
          <w:lang w:val="en" w:eastAsia="zh-CN"/>
        </w:rPr>
        <w:t>。全力</w:t>
      </w:r>
      <w:r>
        <w:rPr>
          <w:rFonts w:hint="eastAsia" w:ascii="宋体" w:hAnsi="宋体" w:eastAsia="方正仿宋_GBK" w:cs="方正仿宋_GBK"/>
          <w:spacing w:val="0"/>
          <w:sz w:val="33"/>
          <w:szCs w:val="33"/>
          <w:lang w:val="en-US" w:eastAsia="zh-CN"/>
        </w:rPr>
        <w:t>推进“建设法治四川 青春奋斗有我”青年普法志愿者网上签名活动，全市签名人数突破5万大关。</w:t>
      </w:r>
      <w:r>
        <w:rPr>
          <w:rFonts w:hint="eastAsia" w:ascii="宋体" w:hAnsi="宋体" w:eastAsia="仿宋" w:cs="仿宋"/>
          <w:spacing w:val="0"/>
          <w:kern w:val="0"/>
          <w:sz w:val="32"/>
          <w:szCs w:val="32"/>
          <w:lang w:eastAsia="zh-CN"/>
        </w:rPr>
        <w:t>创新</w:t>
      </w:r>
      <w:r>
        <w:rPr>
          <w:rFonts w:hint="default" w:ascii="宋体" w:hAnsi="宋体" w:eastAsia="方正仿宋_GBK" w:cs="方正仿宋_GBK"/>
          <w:spacing w:val="0"/>
          <w:sz w:val="33"/>
          <w:szCs w:val="33"/>
          <w:lang w:val="en-US" w:eastAsia="zh-CN"/>
        </w:rPr>
        <w:t>开展以“拒绝校园欺凌·我们一路同行”为主题的反校园欺凌主题直播暨视频教学课活动</w:t>
      </w:r>
      <w:r>
        <w:rPr>
          <w:rFonts w:hint="eastAsia" w:ascii="宋体" w:hAnsi="宋体" w:eastAsia="方正仿宋_GBK" w:cs="方正仿宋_GBK"/>
          <w:spacing w:val="0"/>
          <w:sz w:val="33"/>
          <w:szCs w:val="33"/>
          <w:lang w:val="en-US" w:eastAsia="zh-CN"/>
        </w:rPr>
        <w:t>，</w:t>
      </w:r>
      <w:r>
        <w:rPr>
          <w:rFonts w:hint="default" w:ascii="宋体" w:hAnsi="宋体" w:eastAsia="方正仿宋_GBK" w:cs="方正仿宋_GBK"/>
          <w:spacing w:val="0"/>
          <w:sz w:val="33"/>
          <w:szCs w:val="33"/>
          <w:lang w:val="en-US" w:eastAsia="zh-CN"/>
        </w:rPr>
        <w:t>实现全市中小学生“同上一堂课”，直播观看数据超20万人次。</w:t>
      </w:r>
      <w:r>
        <w:rPr>
          <w:rFonts w:hint="eastAsia" w:ascii="宋体" w:hAnsi="宋体" w:eastAsia="方正黑体_GBK" w:cs="方正黑体_GBK"/>
          <w:b w:val="0"/>
          <w:bCs w:val="0"/>
          <w:spacing w:val="0"/>
          <w:sz w:val="32"/>
          <w:szCs w:val="32"/>
          <w:lang w:val="en-US" w:eastAsia="zh-CN"/>
        </w:rPr>
        <w:t>法治辩论展示风采。</w:t>
      </w:r>
      <w:r>
        <w:rPr>
          <w:rFonts w:hint="eastAsia" w:ascii="宋体" w:hAnsi="宋体" w:eastAsia="方正仿宋_GBK" w:cs="方正仿宋_GBK"/>
          <w:spacing w:val="0"/>
          <w:sz w:val="33"/>
          <w:szCs w:val="33"/>
          <w:lang w:val="en-US" w:eastAsia="zh-CN"/>
        </w:rPr>
        <w:t>委机关、法学会领导高度重视全省首届科技城法治辩论赛，专题研究组建方案，全力落实后勤保障，加强与政法各家的沟通协调，分别从委机关、法院、检察院、公安、司法</w:t>
      </w:r>
      <w:r>
        <w:rPr>
          <w:rFonts w:hint="eastAsia" w:ascii="宋体" w:hAnsi="宋体" w:eastAsia="仿宋_GB2312" w:cs="方正仿宋_GBK"/>
          <w:spacing w:val="0"/>
          <w:sz w:val="33"/>
          <w:szCs w:val="33"/>
          <w:lang w:val="en-US" w:eastAsia="zh-CN"/>
        </w:rPr>
        <w:t>抽派一名政法干警，组建我市首支法治辩论队，突出抓好专项培训、视频展示、模拟演练等工作，资阳队在比赛中顽强拼博、不负重托，成功打进八强，市检察院朱衍被评为十佳优秀辩手，全面展示了资阳政法干警“青春不言败、奋斗正当时”的时代风采。</w:t>
      </w:r>
    </w:p>
    <w:p w14:paraId="2A657FB0">
      <w:pPr>
        <w:pStyle w:val="2"/>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ascii="宋体" w:hAnsi="宋体" w:eastAsia="方正黑体简体"/>
          <w:sz w:val="32"/>
          <w:szCs w:val="32"/>
        </w:rPr>
      </w:pPr>
      <w:r>
        <w:rPr>
          <w:rFonts w:ascii="宋体" w:hAnsi="宋体" w:eastAsia="方正黑体简体"/>
          <w:sz w:val="32"/>
          <w:szCs w:val="32"/>
        </w:rPr>
        <w:t>二、绩效自评工作情况</w:t>
      </w:r>
    </w:p>
    <w:p w14:paraId="6AB73024">
      <w:pPr>
        <w:pStyle w:val="2"/>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宋体" w:hAnsi="宋体" w:eastAsia="方正楷体简体"/>
          <w:b/>
          <w:sz w:val="32"/>
          <w:szCs w:val="32"/>
        </w:rPr>
      </w:pPr>
      <w:r>
        <w:rPr>
          <w:rFonts w:ascii="宋体" w:hAnsi="宋体" w:eastAsia="方正楷体简体"/>
          <w:b/>
          <w:sz w:val="32"/>
          <w:szCs w:val="32"/>
        </w:rPr>
        <w:t>（一）自评工作组织领导</w:t>
      </w:r>
    </w:p>
    <w:p w14:paraId="5C2542E1">
      <w:pPr>
        <w:keepNext w:val="0"/>
        <w:keepLines w:val="0"/>
        <w:pageBreakBefore w:val="0"/>
        <w:kinsoku/>
        <w:wordWrap/>
        <w:overflowPunct/>
        <w:topLinePunct w:val="0"/>
        <w:autoSpaceDE/>
        <w:autoSpaceDN/>
        <w:bidi w:val="0"/>
        <w:adjustRightInd/>
        <w:snapToGrid/>
        <w:spacing w:line="600" w:lineRule="exact"/>
        <w:ind w:firstLine="660" w:firstLineChars="200"/>
        <w:textAlignment w:val="auto"/>
        <w:rPr>
          <w:rFonts w:hint="eastAsia" w:ascii="宋体" w:hAnsi="宋体" w:eastAsia="仿宋_GB2312" w:cs="仿宋_GB2312"/>
          <w:sz w:val="33"/>
          <w:szCs w:val="33"/>
        </w:rPr>
      </w:pPr>
      <w:r>
        <w:rPr>
          <w:rFonts w:hint="eastAsia" w:ascii="宋体" w:hAnsi="宋体" w:eastAsia="仿宋_GB2312" w:cs="仿宋_GB2312"/>
          <w:sz w:val="33"/>
          <w:szCs w:val="33"/>
        </w:rPr>
        <w:t>单位有专（兼）职人员负责绩效考核工作。</w:t>
      </w:r>
    </w:p>
    <w:p w14:paraId="41F9C84D">
      <w:pPr>
        <w:pStyle w:val="2"/>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宋体" w:hAnsi="宋体" w:eastAsia="方正楷体简体"/>
          <w:b/>
          <w:sz w:val="32"/>
          <w:szCs w:val="32"/>
        </w:rPr>
      </w:pPr>
      <w:r>
        <w:rPr>
          <w:rFonts w:ascii="宋体" w:hAnsi="宋体" w:eastAsia="方正楷体简体"/>
          <w:b/>
          <w:sz w:val="32"/>
          <w:szCs w:val="32"/>
        </w:rPr>
        <w:t>（二）自评方式、方法、重点</w:t>
      </w:r>
    </w:p>
    <w:p w14:paraId="6E3C53D2">
      <w:pPr>
        <w:keepNext w:val="0"/>
        <w:keepLines w:val="0"/>
        <w:pageBreakBefore w:val="0"/>
        <w:kinsoku/>
        <w:wordWrap/>
        <w:overflowPunct/>
        <w:topLinePunct w:val="0"/>
        <w:autoSpaceDE/>
        <w:autoSpaceDN/>
        <w:bidi w:val="0"/>
        <w:adjustRightInd/>
        <w:snapToGrid/>
        <w:spacing w:line="600" w:lineRule="exact"/>
        <w:ind w:firstLine="660" w:firstLineChars="200"/>
        <w:textAlignment w:val="auto"/>
        <w:rPr>
          <w:rFonts w:hint="eastAsia" w:ascii="宋体" w:hAnsi="宋体" w:eastAsia="仿宋_GB2312" w:cs="仿宋_GB2312"/>
          <w:sz w:val="33"/>
          <w:szCs w:val="33"/>
        </w:rPr>
      </w:pPr>
      <w:r>
        <w:rPr>
          <w:rFonts w:hint="eastAsia" w:ascii="宋体" w:hAnsi="宋体" w:eastAsia="仿宋_GB2312" w:cs="仿宋_GB2312"/>
          <w:sz w:val="33"/>
          <w:szCs w:val="33"/>
          <w:lang w:eastAsia="zh-CN"/>
        </w:rPr>
        <w:t>评价工作分为准备阶段、实施阶段和撰写阶段，在准备阶段，我单位首先确定了绩效评价对象，制定绩效评价工作方案；在实施阶段，建立了科学、规划的绩效考核指标体系，制定了明确、合理的财政支出绩效目标，认真收集和审查核实绩效评价相关资料，对绩效目标的实现程度户效果实施了考核与评价；在撰写阶段，综合分析并形成评价结论，运用考评结果提高预算编制、执行和管理水平，建立健全绩效评价档案。</w:t>
      </w:r>
    </w:p>
    <w:p w14:paraId="60A6F928">
      <w:pPr>
        <w:pStyle w:val="2"/>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ascii="宋体" w:hAnsi="宋体" w:eastAsia="方正黑体简体"/>
          <w:sz w:val="32"/>
          <w:szCs w:val="32"/>
        </w:rPr>
      </w:pPr>
      <w:r>
        <w:rPr>
          <w:rFonts w:ascii="宋体" w:hAnsi="宋体" w:eastAsia="方正黑体简体"/>
          <w:sz w:val="32"/>
          <w:szCs w:val="32"/>
        </w:rPr>
        <w:t>三、评价结论</w:t>
      </w:r>
    </w:p>
    <w:p w14:paraId="20AD13EF">
      <w:pPr>
        <w:keepNext w:val="0"/>
        <w:keepLines w:val="0"/>
        <w:pageBreakBefore w:val="0"/>
        <w:kinsoku/>
        <w:wordWrap/>
        <w:overflowPunct/>
        <w:topLinePunct w:val="0"/>
        <w:autoSpaceDE/>
        <w:autoSpaceDN/>
        <w:bidi w:val="0"/>
        <w:adjustRightInd/>
        <w:snapToGrid/>
        <w:spacing w:line="600" w:lineRule="exact"/>
        <w:ind w:firstLine="660" w:firstLineChars="200"/>
        <w:textAlignment w:val="auto"/>
        <w:rPr>
          <w:rFonts w:hint="eastAsia" w:ascii="宋体" w:hAnsi="宋体" w:eastAsia="仿宋_GB2312" w:cs="仿宋_GB2312"/>
          <w:sz w:val="33"/>
          <w:szCs w:val="33"/>
          <w:lang w:eastAsia="zh-CN"/>
        </w:rPr>
      </w:pPr>
      <w:r>
        <w:rPr>
          <w:rFonts w:hint="eastAsia" w:ascii="宋体" w:hAnsi="宋体" w:eastAsia="仿宋_GB2312" w:cs="仿宋_GB2312"/>
          <w:sz w:val="33"/>
          <w:szCs w:val="33"/>
          <w:lang w:eastAsia="zh-CN"/>
        </w:rPr>
        <w:t>根据预算绩效管理工作要求对202</w:t>
      </w:r>
      <w:r>
        <w:rPr>
          <w:rFonts w:hint="eastAsia" w:ascii="宋体" w:hAnsi="宋体" w:eastAsia="仿宋_GB2312" w:cs="仿宋_GB2312"/>
          <w:sz w:val="33"/>
          <w:szCs w:val="33"/>
          <w:lang w:val="en-US" w:eastAsia="zh-CN"/>
        </w:rPr>
        <w:t>3</w:t>
      </w:r>
      <w:r>
        <w:rPr>
          <w:rFonts w:hint="eastAsia" w:ascii="宋体" w:hAnsi="宋体" w:eastAsia="仿宋_GB2312" w:cs="仿宋_GB2312"/>
          <w:sz w:val="33"/>
          <w:szCs w:val="33"/>
          <w:lang w:eastAsia="zh-CN"/>
        </w:rPr>
        <w:t>年项目支出绩效管理工作进行了自评考核，按照综合评分结果，依据资财监督〔2020〕1号规定评价等级为优，本次自评得分</w:t>
      </w:r>
      <w:r>
        <w:rPr>
          <w:rFonts w:hint="eastAsia" w:ascii="宋体" w:hAnsi="宋体" w:eastAsia="仿宋_GB2312" w:cs="仿宋_GB2312"/>
          <w:sz w:val="33"/>
          <w:szCs w:val="33"/>
          <w:lang w:val="en-US" w:eastAsia="zh-CN"/>
        </w:rPr>
        <w:t>100</w:t>
      </w:r>
      <w:r>
        <w:rPr>
          <w:rFonts w:hint="eastAsia" w:ascii="宋体" w:hAnsi="宋体" w:eastAsia="仿宋_GB2312" w:cs="仿宋_GB2312"/>
          <w:sz w:val="33"/>
          <w:szCs w:val="33"/>
          <w:lang w:eastAsia="zh-CN"/>
        </w:rPr>
        <w:t>分。</w:t>
      </w:r>
    </w:p>
    <w:p w14:paraId="1DDC5D1C">
      <w:pPr>
        <w:pStyle w:val="2"/>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ascii="宋体" w:hAnsi="宋体" w:eastAsia="方正黑体简体"/>
          <w:sz w:val="32"/>
          <w:szCs w:val="32"/>
        </w:rPr>
      </w:pPr>
      <w:r>
        <w:rPr>
          <w:rFonts w:ascii="宋体" w:hAnsi="宋体" w:eastAsia="方正黑体简体"/>
          <w:sz w:val="32"/>
          <w:szCs w:val="32"/>
        </w:rPr>
        <w:t>四、绩效分析</w:t>
      </w:r>
    </w:p>
    <w:p w14:paraId="17792470">
      <w:pPr>
        <w:pStyle w:val="2"/>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ascii="宋体" w:hAnsi="宋体" w:eastAsia="方正仿宋简体"/>
          <w:color w:val="auto"/>
          <w:sz w:val="32"/>
          <w:szCs w:val="32"/>
        </w:rPr>
      </w:pPr>
      <w:r>
        <w:rPr>
          <w:rFonts w:hint="eastAsia" w:ascii="宋体" w:hAnsi="宋体" w:eastAsia="方正仿宋简体"/>
          <w:color w:val="auto"/>
          <w:sz w:val="32"/>
          <w:szCs w:val="32"/>
          <w:lang w:eastAsia="zh-CN"/>
        </w:rPr>
        <w:t>项目</w:t>
      </w:r>
      <w:r>
        <w:rPr>
          <w:rFonts w:hint="eastAsia" w:ascii="宋体" w:hAnsi="宋体" w:eastAsia="方正仿宋简体"/>
          <w:color w:val="auto"/>
          <w:sz w:val="32"/>
          <w:szCs w:val="32"/>
        </w:rPr>
        <w:t>支出绩效评价的评分依据、</w:t>
      </w:r>
      <w:r>
        <w:rPr>
          <w:rFonts w:hint="eastAsia" w:ascii="宋体" w:hAnsi="宋体" w:eastAsia="方正仿宋简体"/>
          <w:color w:val="auto"/>
          <w:sz w:val="32"/>
          <w:szCs w:val="32"/>
          <w:lang w:eastAsia="zh-CN"/>
        </w:rPr>
        <w:t>得分情况、</w:t>
      </w:r>
      <w:r>
        <w:rPr>
          <w:rFonts w:hint="eastAsia" w:ascii="宋体" w:hAnsi="宋体" w:eastAsia="方正仿宋简体"/>
          <w:color w:val="auto"/>
          <w:sz w:val="32"/>
          <w:szCs w:val="32"/>
        </w:rPr>
        <w:t>扣分原因分析等见《20</w:t>
      </w:r>
      <w:r>
        <w:rPr>
          <w:rFonts w:hint="eastAsia" w:ascii="宋体" w:hAnsi="宋体" w:eastAsia="方正仿宋简体"/>
          <w:color w:val="auto"/>
          <w:sz w:val="32"/>
          <w:szCs w:val="32"/>
          <w:lang w:val="en-US" w:eastAsia="zh-CN"/>
        </w:rPr>
        <w:t>23</w:t>
      </w:r>
      <w:r>
        <w:rPr>
          <w:rFonts w:hint="eastAsia" w:ascii="宋体" w:hAnsi="宋体" w:eastAsia="方正仿宋简体"/>
          <w:color w:val="auto"/>
          <w:sz w:val="32"/>
          <w:szCs w:val="32"/>
        </w:rPr>
        <w:t>年度市本级</w:t>
      </w:r>
      <w:r>
        <w:rPr>
          <w:rFonts w:hint="eastAsia" w:ascii="宋体" w:hAnsi="宋体" w:eastAsia="方正仿宋简体"/>
          <w:color w:val="auto"/>
          <w:sz w:val="32"/>
          <w:szCs w:val="32"/>
          <w:lang w:eastAsia="zh-CN"/>
        </w:rPr>
        <w:t>项目</w:t>
      </w:r>
      <w:r>
        <w:rPr>
          <w:rFonts w:hint="eastAsia" w:ascii="宋体" w:hAnsi="宋体" w:eastAsia="方正仿宋简体"/>
          <w:color w:val="auto"/>
          <w:sz w:val="32"/>
          <w:szCs w:val="32"/>
        </w:rPr>
        <w:t>支出绩效自评计分表》（附件</w:t>
      </w:r>
      <w:r>
        <w:rPr>
          <w:rFonts w:hint="eastAsia" w:ascii="宋体" w:hAnsi="宋体" w:eastAsia="方正仿宋简体"/>
          <w:color w:val="auto"/>
          <w:sz w:val="32"/>
          <w:szCs w:val="32"/>
          <w:lang w:val="en-US" w:eastAsia="zh-CN"/>
        </w:rPr>
        <w:t>2</w:t>
      </w:r>
      <w:r>
        <w:rPr>
          <w:rFonts w:hint="eastAsia" w:ascii="宋体" w:hAnsi="宋体" w:eastAsia="方正仿宋简体"/>
          <w:color w:val="auto"/>
          <w:sz w:val="32"/>
          <w:szCs w:val="32"/>
        </w:rPr>
        <w:t>-1）</w:t>
      </w:r>
      <w:r>
        <w:rPr>
          <w:rFonts w:ascii="宋体" w:hAnsi="宋体" w:eastAsia="方正仿宋简体"/>
          <w:color w:val="auto"/>
          <w:sz w:val="32"/>
          <w:szCs w:val="32"/>
        </w:rPr>
        <w:t>。</w:t>
      </w:r>
    </w:p>
    <w:p w14:paraId="4E7352D5">
      <w:pPr>
        <w:keepNext w:val="0"/>
        <w:keepLines w:val="0"/>
        <w:pageBreakBefore w:val="0"/>
        <w:kinsoku/>
        <w:wordWrap/>
        <w:overflowPunct/>
        <w:topLinePunct w:val="0"/>
        <w:autoSpaceDE/>
        <w:autoSpaceDN/>
        <w:bidi w:val="0"/>
        <w:snapToGrid/>
        <w:spacing w:line="600" w:lineRule="exact"/>
        <w:ind w:firstLine="643" w:firstLineChars="200"/>
        <w:jc w:val="both"/>
        <w:textAlignment w:val="auto"/>
        <w:rPr>
          <w:rFonts w:ascii="宋体" w:hAnsi="宋体" w:eastAsia="方正仿宋简体"/>
          <w:b/>
          <w:color w:val="000000"/>
          <w:kern w:val="0"/>
          <w:sz w:val="32"/>
          <w:szCs w:val="32"/>
        </w:rPr>
      </w:pPr>
      <w:r>
        <w:rPr>
          <w:rFonts w:hint="eastAsia" w:ascii="宋体" w:hAnsi="宋体" w:eastAsia="方正仿宋简体"/>
          <w:b/>
          <w:color w:val="000000"/>
          <w:kern w:val="0"/>
          <w:sz w:val="32"/>
          <w:szCs w:val="32"/>
        </w:rPr>
        <w:t>1.投入指标分析</w:t>
      </w:r>
      <w:r>
        <w:rPr>
          <w:rFonts w:hint="default" w:ascii="宋体" w:hAnsi="宋体" w:eastAsia="方正仿宋简体" w:cs="Times New Roman"/>
          <w:color w:val="000000"/>
          <w:kern w:val="0"/>
          <w:sz w:val="32"/>
          <w:szCs w:val="32"/>
        </w:rPr>
        <w:t>（总分</w:t>
      </w:r>
      <w:r>
        <w:rPr>
          <w:rFonts w:hint="default" w:ascii="宋体" w:hAnsi="宋体" w:eastAsia="方正仿宋简体" w:cs="Times New Roman"/>
          <w:color w:val="000000"/>
          <w:kern w:val="0"/>
          <w:sz w:val="32"/>
          <w:szCs w:val="32"/>
          <w:lang w:val="en-US" w:eastAsia="zh-CN"/>
        </w:rPr>
        <w:t>25</w:t>
      </w:r>
      <w:r>
        <w:rPr>
          <w:rFonts w:hint="default" w:ascii="宋体" w:hAnsi="宋体" w:eastAsia="方正仿宋简体" w:cs="Times New Roman"/>
          <w:color w:val="000000"/>
          <w:kern w:val="0"/>
          <w:sz w:val="32"/>
          <w:szCs w:val="32"/>
        </w:rPr>
        <w:t>分，得分</w:t>
      </w:r>
      <w:r>
        <w:rPr>
          <w:rFonts w:hint="default" w:ascii="宋体" w:hAnsi="宋体" w:eastAsia="方正仿宋简体" w:cs="Times New Roman"/>
          <w:color w:val="000000"/>
          <w:kern w:val="0"/>
          <w:sz w:val="32"/>
          <w:szCs w:val="32"/>
          <w:lang w:val="en-US" w:eastAsia="zh-CN"/>
        </w:rPr>
        <w:t>25</w:t>
      </w:r>
      <w:r>
        <w:rPr>
          <w:rFonts w:hint="default" w:ascii="宋体" w:hAnsi="宋体" w:eastAsia="方正仿宋简体" w:cs="Times New Roman"/>
          <w:color w:val="000000"/>
          <w:kern w:val="0"/>
          <w:sz w:val="32"/>
          <w:szCs w:val="32"/>
        </w:rPr>
        <w:t>分）</w:t>
      </w:r>
    </w:p>
    <w:p w14:paraId="4027A844">
      <w:pPr>
        <w:keepNext w:val="0"/>
        <w:keepLines w:val="0"/>
        <w:pageBreakBefore w:val="0"/>
        <w:kinsoku/>
        <w:wordWrap/>
        <w:overflowPunct/>
        <w:topLinePunct w:val="0"/>
        <w:autoSpaceDE/>
        <w:autoSpaceDN/>
        <w:bidi w:val="0"/>
        <w:snapToGrid/>
        <w:spacing w:line="600" w:lineRule="exact"/>
        <w:ind w:firstLine="643" w:firstLineChars="200"/>
        <w:jc w:val="both"/>
        <w:textAlignment w:val="auto"/>
        <w:rPr>
          <w:rFonts w:ascii="宋体" w:hAnsi="宋体" w:eastAsia="方正仿宋简体"/>
          <w:b/>
          <w:color w:val="000000"/>
          <w:kern w:val="0"/>
          <w:sz w:val="32"/>
          <w:szCs w:val="32"/>
        </w:rPr>
      </w:pPr>
      <w:r>
        <w:rPr>
          <w:rFonts w:hint="eastAsia" w:ascii="宋体" w:hAnsi="宋体" w:eastAsia="方正仿宋简体" w:cs="Times New Roman"/>
          <w:b/>
          <w:color w:val="000000"/>
          <w:kern w:val="0"/>
          <w:sz w:val="32"/>
          <w:szCs w:val="32"/>
        </w:rPr>
        <w:t>（1）</w:t>
      </w:r>
      <w:r>
        <w:rPr>
          <w:rFonts w:hint="eastAsia" w:ascii="宋体" w:hAnsi="宋体" w:eastAsia="方正仿宋简体"/>
          <w:b/>
          <w:color w:val="000000"/>
          <w:kern w:val="0"/>
          <w:sz w:val="32"/>
          <w:szCs w:val="32"/>
          <w:lang w:eastAsia="zh-CN"/>
        </w:rPr>
        <w:t>项目立项</w:t>
      </w:r>
    </w:p>
    <w:p w14:paraId="5FB6B392">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宋体" w:hAnsi="宋体" w:eastAsia="方正仿宋简体"/>
          <w:color w:val="000000"/>
          <w:sz w:val="32"/>
          <w:szCs w:val="32"/>
          <w:lang w:val="en-US" w:eastAsia="zh-CN"/>
        </w:rPr>
      </w:pPr>
      <w:r>
        <w:rPr>
          <w:rFonts w:hint="eastAsia" w:ascii="宋体" w:hAnsi="宋体" w:eastAsia="方正仿宋简体"/>
          <w:color w:val="000000"/>
          <w:kern w:val="0"/>
          <w:sz w:val="32"/>
          <w:szCs w:val="32"/>
        </w:rPr>
        <w:t>本单位</w:t>
      </w:r>
      <w:r>
        <w:rPr>
          <w:rFonts w:hint="eastAsia" w:ascii="宋体" w:hAnsi="宋体" w:eastAsia="方正仿宋简体"/>
          <w:color w:val="000000"/>
          <w:kern w:val="0"/>
          <w:sz w:val="32"/>
          <w:szCs w:val="32"/>
          <w:lang w:eastAsia="zh-CN"/>
        </w:rPr>
        <w:t>项目立项规范，项目按规定程序申请、设立，提交的文件、资料符合相关要求；绩效目标合理，项目设定的绩效目标</w:t>
      </w:r>
      <w:r>
        <w:rPr>
          <w:rFonts w:hint="eastAsia" w:ascii="宋体" w:hAnsi="宋体" w:eastAsia="方正仿宋简体"/>
          <w:color w:val="000000"/>
          <w:kern w:val="0"/>
          <w:sz w:val="32"/>
          <w:szCs w:val="32"/>
        </w:rPr>
        <w:t>符合国家法律</w:t>
      </w:r>
      <w:r>
        <w:rPr>
          <w:rFonts w:ascii="宋体" w:hAnsi="宋体" w:eastAsia="方正仿宋简体"/>
          <w:color w:val="000000"/>
          <w:kern w:val="0"/>
          <w:sz w:val="32"/>
          <w:szCs w:val="32"/>
        </w:rPr>
        <w:t>法规、国民经济和社会发展总体规划</w:t>
      </w:r>
      <w:r>
        <w:rPr>
          <w:rFonts w:hint="eastAsia" w:ascii="宋体" w:hAnsi="宋体" w:eastAsia="方正仿宋简体"/>
          <w:color w:val="000000"/>
          <w:kern w:val="0"/>
          <w:sz w:val="32"/>
          <w:szCs w:val="32"/>
          <w:lang w:eastAsia="zh-CN"/>
        </w:rPr>
        <w:t>，依据充分，符合客观实际；绩效目标</w:t>
      </w:r>
      <w:r>
        <w:rPr>
          <w:rFonts w:hint="eastAsia" w:ascii="宋体" w:hAnsi="宋体" w:eastAsia="方正仿宋简体"/>
          <w:color w:val="000000"/>
          <w:kern w:val="0"/>
          <w:sz w:val="32"/>
          <w:szCs w:val="32"/>
          <w:lang w:val="en-US" w:eastAsia="zh-CN"/>
        </w:rPr>
        <w:t>明确，</w:t>
      </w:r>
      <w:r>
        <w:rPr>
          <w:rFonts w:hint="eastAsia" w:ascii="宋体" w:hAnsi="宋体" w:eastAsia="方正仿宋简体"/>
          <w:color w:val="000000"/>
          <w:sz w:val="32"/>
          <w:szCs w:val="32"/>
        </w:rPr>
        <w:t>设定</w:t>
      </w:r>
      <w:r>
        <w:rPr>
          <w:rFonts w:ascii="宋体" w:hAnsi="宋体" w:eastAsia="方正仿宋简体"/>
          <w:color w:val="000000"/>
          <w:sz w:val="32"/>
          <w:szCs w:val="32"/>
        </w:rPr>
        <w:t>的绩效指标清晰</w:t>
      </w:r>
      <w:r>
        <w:rPr>
          <w:rFonts w:hint="eastAsia" w:ascii="宋体" w:hAnsi="宋体" w:eastAsia="方正仿宋简体"/>
          <w:color w:val="000000"/>
          <w:sz w:val="32"/>
          <w:szCs w:val="32"/>
        </w:rPr>
        <w:t>、</w:t>
      </w:r>
      <w:r>
        <w:rPr>
          <w:rFonts w:ascii="宋体" w:hAnsi="宋体" w:eastAsia="方正仿宋简体"/>
          <w:color w:val="000000"/>
          <w:sz w:val="32"/>
          <w:szCs w:val="32"/>
        </w:rPr>
        <w:t>具体</w:t>
      </w:r>
      <w:r>
        <w:rPr>
          <w:rFonts w:hint="eastAsia" w:ascii="宋体" w:hAnsi="宋体" w:eastAsia="方正仿宋简体"/>
          <w:color w:val="000000"/>
          <w:sz w:val="32"/>
          <w:szCs w:val="32"/>
        </w:rPr>
        <w:t>，</w:t>
      </w:r>
      <w:r>
        <w:rPr>
          <w:rFonts w:ascii="宋体" w:hAnsi="宋体" w:eastAsia="方正仿宋简体"/>
          <w:color w:val="000000"/>
          <w:sz w:val="32"/>
          <w:szCs w:val="32"/>
        </w:rPr>
        <w:t>具有</w:t>
      </w:r>
      <w:r>
        <w:rPr>
          <w:rFonts w:hint="eastAsia" w:ascii="宋体" w:hAnsi="宋体" w:eastAsia="方正仿宋简体"/>
          <w:color w:val="000000"/>
          <w:sz w:val="32"/>
          <w:szCs w:val="32"/>
        </w:rPr>
        <w:t>指导性</w:t>
      </w:r>
      <w:r>
        <w:rPr>
          <w:rFonts w:ascii="宋体" w:hAnsi="宋体" w:eastAsia="方正仿宋简体"/>
          <w:color w:val="000000"/>
          <w:sz w:val="32"/>
          <w:szCs w:val="32"/>
        </w:rPr>
        <w:t>和可衡量</w:t>
      </w:r>
      <w:r>
        <w:rPr>
          <w:rFonts w:hint="eastAsia" w:ascii="宋体" w:hAnsi="宋体" w:eastAsia="方正仿宋简体"/>
          <w:color w:val="000000"/>
          <w:sz w:val="32"/>
          <w:szCs w:val="32"/>
        </w:rPr>
        <w:t>性</w:t>
      </w:r>
      <w:r>
        <w:rPr>
          <w:rFonts w:hint="eastAsia" w:ascii="宋体" w:hAnsi="宋体" w:eastAsia="方正仿宋简体"/>
          <w:color w:val="000000"/>
          <w:sz w:val="32"/>
          <w:szCs w:val="32"/>
          <w:lang w:eastAsia="zh-CN"/>
        </w:rPr>
        <w:t>。</w:t>
      </w:r>
    </w:p>
    <w:p w14:paraId="45E98D1F">
      <w:pPr>
        <w:keepNext w:val="0"/>
        <w:keepLines w:val="0"/>
        <w:pageBreakBefore w:val="0"/>
        <w:kinsoku/>
        <w:wordWrap/>
        <w:overflowPunct/>
        <w:topLinePunct w:val="0"/>
        <w:autoSpaceDE/>
        <w:autoSpaceDN/>
        <w:bidi w:val="0"/>
        <w:snapToGrid/>
        <w:spacing w:line="600" w:lineRule="exact"/>
        <w:ind w:firstLine="643" w:firstLineChars="200"/>
        <w:jc w:val="both"/>
        <w:textAlignment w:val="auto"/>
        <w:rPr>
          <w:rFonts w:ascii="宋体" w:hAnsi="宋体" w:eastAsia="方正仿宋简体"/>
          <w:b/>
          <w:color w:val="000000"/>
          <w:sz w:val="32"/>
          <w:szCs w:val="32"/>
        </w:rPr>
      </w:pPr>
      <w:r>
        <w:rPr>
          <w:rFonts w:hint="eastAsia" w:ascii="宋体" w:hAnsi="宋体" w:eastAsia="方正仿宋简体" w:cs="Times New Roman"/>
          <w:b/>
          <w:color w:val="000000"/>
          <w:sz w:val="32"/>
          <w:szCs w:val="32"/>
        </w:rPr>
        <w:t>（2）</w:t>
      </w:r>
      <w:r>
        <w:rPr>
          <w:rFonts w:hint="eastAsia" w:ascii="宋体" w:hAnsi="宋体" w:eastAsia="方正仿宋简体"/>
          <w:b/>
          <w:color w:val="000000"/>
          <w:sz w:val="32"/>
          <w:szCs w:val="32"/>
          <w:lang w:eastAsia="zh-CN"/>
        </w:rPr>
        <w:t>资金落实</w:t>
      </w:r>
    </w:p>
    <w:p w14:paraId="09CB99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简体" w:cs="Times New Roman"/>
          <w:color w:val="000000"/>
          <w:kern w:val="0"/>
          <w:sz w:val="32"/>
          <w:szCs w:val="32"/>
          <w:lang w:val="en-US" w:eastAsia="zh-CN"/>
        </w:rPr>
      </w:pPr>
      <w:r>
        <w:rPr>
          <w:rFonts w:hint="default" w:ascii="宋体" w:hAnsi="宋体" w:eastAsia="方正仿宋简体" w:cs="Times New Roman"/>
          <w:color w:val="000000"/>
          <w:kern w:val="0"/>
          <w:sz w:val="32"/>
          <w:szCs w:val="32"/>
          <w:lang w:val="en-US" w:eastAsia="zh-CN"/>
        </w:rPr>
        <w:t>202</w:t>
      </w:r>
      <w:r>
        <w:rPr>
          <w:rFonts w:hint="eastAsia" w:ascii="宋体" w:hAnsi="宋体" w:eastAsia="方正仿宋简体" w:cs="Times New Roman"/>
          <w:color w:val="000000"/>
          <w:kern w:val="0"/>
          <w:sz w:val="32"/>
          <w:szCs w:val="32"/>
          <w:lang w:val="en-US" w:eastAsia="zh-CN"/>
        </w:rPr>
        <w:t>3</w:t>
      </w:r>
      <w:r>
        <w:rPr>
          <w:rFonts w:hint="default" w:ascii="宋体" w:hAnsi="宋体" w:eastAsia="方正仿宋简体" w:cs="Times New Roman"/>
          <w:color w:val="000000"/>
          <w:kern w:val="0"/>
          <w:sz w:val="32"/>
          <w:szCs w:val="32"/>
          <w:lang w:val="en-US" w:eastAsia="zh-CN"/>
        </w:rPr>
        <w:t>年财政</w:t>
      </w:r>
      <w:r>
        <w:rPr>
          <w:rFonts w:hint="default" w:ascii="宋体" w:hAnsi="宋体" w:eastAsia="方正仿宋简体" w:cs="Times New Roman"/>
          <w:color w:val="000000"/>
          <w:kern w:val="0"/>
          <w:sz w:val="32"/>
          <w:szCs w:val="32"/>
        </w:rPr>
        <w:t>预算安排</w:t>
      </w:r>
      <w:r>
        <w:rPr>
          <w:rFonts w:hint="eastAsia" w:ascii="宋体" w:hAnsi="宋体" w:eastAsia="方正仿宋简体" w:cs="Times New Roman"/>
          <w:color w:val="000000"/>
          <w:kern w:val="0"/>
          <w:sz w:val="32"/>
          <w:szCs w:val="32"/>
          <w:lang w:eastAsia="zh-CN"/>
        </w:rPr>
        <w:t>法学会工作经费</w:t>
      </w:r>
      <w:r>
        <w:rPr>
          <w:rFonts w:hint="eastAsia" w:ascii="宋体" w:hAnsi="宋体" w:eastAsia="方正仿宋简体" w:cs="Times New Roman"/>
          <w:color w:val="000000"/>
          <w:kern w:val="0"/>
          <w:sz w:val="32"/>
          <w:szCs w:val="32"/>
          <w:lang w:val="en-US" w:eastAsia="zh-CN"/>
        </w:rPr>
        <w:t>10</w:t>
      </w:r>
      <w:r>
        <w:rPr>
          <w:rFonts w:hint="default" w:ascii="宋体" w:hAnsi="宋体" w:eastAsia="方正仿宋简体" w:cs="Times New Roman"/>
          <w:color w:val="000000"/>
          <w:kern w:val="0"/>
          <w:sz w:val="32"/>
          <w:szCs w:val="32"/>
        </w:rPr>
        <w:t>万元，</w:t>
      </w:r>
      <w:r>
        <w:rPr>
          <w:rFonts w:hint="default" w:ascii="宋体" w:hAnsi="宋体" w:eastAsia="方正仿宋简体" w:cs="Times New Roman"/>
          <w:color w:val="000000"/>
          <w:kern w:val="0"/>
          <w:sz w:val="32"/>
          <w:szCs w:val="32"/>
          <w:lang w:eastAsia="zh-CN"/>
        </w:rPr>
        <w:t>资金实际到位</w:t>
      </w:r>
      <w:r>
        <w:rPr>
          <w:rFonts w:hint="eastAsia" w:ascii="宋体" w:hAnsi="宋体" w:eastAsia="方正仿宋简体" w:cs="Times New Roman"/>
          <w:color w:val="000000"/>
          <w:kern w:val="0"/>
          <w:sz w:val="32"/>
          <w:szCs w:val="32"/>
          <w:lang w:val="en-US" w:eastAsia="zh-CN"/>
        </w:rPr>
        <w:t>4.88</w:t>
      </w:r>
      <w:r>
        <w:rPr>
          <w:rFonts w:hint="default" w:ascii="宋体" w:hAnsi="宋体" w:eastAsia="方正仿宋简体" w:cs="Times New Roman"/>
          <w:color w:val="000000"/>
          <w:kern w:val="0"/>
          <w:sz w:val="32"/>
          <w:szCs w:val="32"/>
          <w:lang w:val="en-US" w:eastAsia="zh-CN"/>
        </w:rPr>
        <w:t>万元，资金到位率</w:t>
      </w:r>
      <w:r>
        <w:rPr>
          <w:rFonts w:hint="eastAsia" w:ascii="宋体" w:hAnsi="宋体" w:eastAsia="方正仿宋简体" w:cs="Times New Roman"/>
          <w:color w:val="000000"/>
          <w:kern w:val="0"/>
          <w:sz w:val="32"/>
          <w:szCs w:val="32"/>
          <w:lang w:val="en-US" w:eastAsia="zh-CN"/>
        </w:rPr>
        <w:t>=（实际到位资金/计划投入资金）=4.88/10=48.8</w:t>
      </w:r>
      <w:r>
        <w:rPr>
          <w:rFonts w:hint="default" w:ascii="宋体" w:hAnsi="宋体" w:eastAsia="方正仿宋简体" w:cs="Times New Roman"/>
          <w:color w:val="000000"/>
          <w:kern w:val="0"/>
          <w:sz w:val="32"/>
          <w:szCs w:val="32"/>
          <w:lang w:val="en-US" w:eastAsia="zh-CN"/>
        </w:rPr>
        <w:t>%；到位及时率</w:t>
      </w:r>
      <w:r>
        <w:rPr>
          <w:rFonts w:hint="eastAsia" w:ascii="宋体" w:hAnsi="宋体" w:eastAsia="方正仿宋简体" w:cs="Times New Roman"/>
          <w:color w:val="000000"/>
          <w:kern w:val="0"/>
          <w:sz w:val="32"/>
          <w:szCs w:val="32"/>
          <w:lang w:val="en-US" w:eastAsia="zh-CN"/>
        </w:rPr>
        <w:t>=（及时到位资金/应到位资金）=4.88/10=48.8</w:t>
      </w:r>
      <w:r>
        <w:rPr>
          <w:rFonts w:hint="default" w:ascii="宋体" w:hAnsi="宋体" w:eastAsia="方正仿宋简体" w:cs="Times New Roman"/>
          <w:color w:val="000000"/>
          <w:kern w:val="0"/>
          <w:sz w:val="32"/>
          <w:szCs w:val="32"/>
          <w:lang w:val="en-US" w:eastAsia="zh-CN"/>
        </w:rPr>
        <w:t>%。</w:t>
      </w:r>
    </w:p>
    <w:p w14:paraId="56C8A950">
      <w:pPr>
        <w:keepNext w:val="0"/>
        <w:keepLines w:val="0"/>
        <w:pageBreakBefore w:val="0"/>
        <w:kinsoku/>
        <w:wordWrap/>
        <w:overflowPunct/>
        <w:topLinePunct w:val="0"/>
        <w:autoSpaceDE/>
        <w:autoSpaceDN/>
        <w:bidi w:val="0"/>
        <w:snapToGrid/>
        <w:spacing w:line="600" w:lineRule="exact"/>
        <w:ind w:firstLine="643" w:firstLineChars="200"/>
        <w:jc w:val="both"/>
        <w:textAlignment w:val="auto"/>
        <w:rPr>
          <w:rFonts w:hint="default" w:ascii="宋体" w:hAnsi="宋体" w:eastAsia="方正仿宋简体" w:cs="Times New Roman"/>
          <w:b/>
          <w:color w:val="000000"/>
          <w:kern w:val="0"/>
          <w:sz w:val="32"/>
          <w:szCs w:val="32"/>
        </w:rPr>
      </w:pPr>
      <w:r>
        <w:rPr>
          <w:rFonts w:hint="eastAsia" w:ascii="宋体" w:hAnsi="宋体" w:eastAsia="方正仿宋简体"/>
          <w:b/>
          <w:color w:val="000000"/>
          <w:kern w:val="0"/>
          <w:sz w:val="32"/>
          <w:szCs w:val="32"/>
          <w:lang w:val="en-US" w:eastAsia="zh-CN"/>
        </w:rPr>
        <w:t>2</w:t>
      </w:r>
      <w:r>
        <w:rPr>
          <w:rFonts w:hint="eastAsia" w:ascii="宋体" w:hAnsi="宋体" w:eastAsia="方正仿宋简体"/>
          <w:b/>
          <w:color w:val="000000"/>
          <w:kern w:val="0"/>
          <w:sz w:val="32"/>
          <w:szCs w:val="32"/>
        </w:rPr>
        <w:t>.</w:t>
      </w:r>
      <w:r>
        <w:rPr>
          <w:rFonts w:hint="eastAsia" w:ascii="宋体" w:hAnsi="宋体" w:eastAsia="方正仿宋简体"/>
          <w:b/>
          <w:color w:val="000000"/>
          <w:kern w:val="0"/>
          <w:sz w:val="32"/>
          <w:szCs w:val="32"/>
          <w:lang w:eastAsia="zh-CN"/>
        </w:rPr>
        <w:t>过程</w:t>
      </w:r>
      <w:r>
        <w:rPr>
          <w:rFonts w:hint="eastAsia" w:ascii="宋体" w:hAnsi="宋体" w:eastAsia="方正仿宋简体"/>
          <w:b/>
          <w:color w:val="000000"/>
          <w:kern w:val="0"/>
          <w:sz w:val="32"/>
          <w:szCs w:val="32"/>
        </w:rPr>
        <w:t>指标分析</w:t>
      </w:r>
      <w:r>
        <w:rPr>
          <w:rFonts w:hint="default" w:ascii="宋体" w:hAnsi="宋体" w:eastAsia="方正仿宋简体" w:cs="Times New Roman"/>
          <w:color w:val="000000"/>
          <w:kern w:val="0"/>
          <w:sz w:val="32"/>
          <w:szCs w:val="32"/>
        </w:rPr>
        <w:t>（总分</w:t>
      </w:r>
      <w:r>
        <w:rPr>
          <w:rFonts w:hint="default" w:ascii="宋体" w:hAnsi="宋体" w:eastAsia="方正仿宋简体" w:cs="Times New Roman"/>
          <w:color w:val="000000"/>
          <w:kern w:val="0"/>
          <w:sz w:val="32"/>
          <w:szCs w:val="32"/>
          <w:lang w:val="en-US" w:eastAsia="zh-CN"/>
        </w:rPr>
        <w:t>25</w:t>
      </w:r>
      <w:r>
        <w:rPr>
          <w:rFonts w:hint="default" w:ascii="宋体" w:hAnsi="宋体" w:eastAsia="方正仿宋简体" w:cs="Times New Roman"/>
          <w:color w:val="000000"/>
          <w:kern w:val="0"/>
          <w:sz w:val="32"/>
          <w:szCs w:val="32"/>
        </w:rPr>
        <w:t>分，得分</w:t>
      </w:r>
      <w:r>
        <w:rPr>
          <w:rFonts w:hint="default" w:ascii="宋体" w:hAnsi="宋体" w:eastAsia="方正仿宋简体" w:cs="Times New Roman"/>
          <w:color w:val="000000"/>
          <w:kern w:val="0"/>
          <w:sz w:val="32"/>
          <w:szCs w:val="32"/>
          <w:lang w:val="en-US" w:eastAsia="zh-CN"/>
        </w:rPr>
        <w:t>25</w:t>
      </w:r>
      <w:r>
        <w:rPr>
          <w:rFonts w:hint="default" w:ascii="宋体" w:hAnsi="宋体" w:eastAsia="方正仿宋简体" w:cs="Times New Roman"/>
          <w:color w:val="000000"/>
          <w:kern w:val="0"/>
          <w:sz w:val="32"/>
          <w:szCs w:val="32"/>
        </w:rPr>
        <w:t>分）</w:t>
      </w:r>
    </w:p>
    <w:p w14:paraId="3280007D">
      <w:pPr>
        <w:keepNext w:val="0"/>
        <w:keepLines w:val="0"/>
        <w:pageBreakBefore w:val="0"/>
        <w:numPr>
          <w:ilvl w:val="0"/>
          <w:numId w:val="0"/>
        </w:numPr>
        <w:kinsoku/>
        <w:wordWrap/>
        <w:overflowPunct/>
        <w:topLinePunct w:val="0"/>
        <w:autoSpaceDE/>
        <w:autoSpaceDN/>
        <w:bidi w:val="0"/>
        <w:snapToGrid/>
        <w:spacing w:line="600" w:lineRule="exact"/>
        <w:ind w:firstLine="643" w:firstLineChars="200"/>
        <w:jc w:val="both"/>
        <w:textAlignment w:val="auto"/>
        <w:rPr>
          <w:rFonts w:hint="eastAsia" w:ascii="宋体" w:hAnsi="宋体" w:eastAsia="方正仿宋简体"/>
          <w:b/>
          <w:color w:val="000000"/>
          <w:sz w:val="32"/>
          <w:szCs w:val="32"/>
          <w:lang w:val="en-US" w:eastAsia="zh-CN"/>
        </w:rPr>
      </w:pPr>
      <w:r>
        <w:rPr>
          <w:rFonts w:hint="eastAsia" w:ascii="宋体" w:hAnsi="宋体" w:eastAsia="方正仿宋简体"/>
          <w:b/>
          <w:color w:val="000000"/>
          <w:sz w:val="32"/>
          <w:szCs w:val="32"/>
          <w:lang w:val="en-US" w:eastAsia="zh-CN"/>
        </w:rPr>
        <w:t>（1）业务管理</w:t>
      </w:r>
    </w:p>
    <w:p w14:paraId="3AAC495E">
      <w:pPr>
        <w:pStyle w:val="2"/>
        <w:keepNext w:val="0"/>
        <w:keepLines w:val="0"/>
        <w:pageBreakBefore w:val="0"/>
        <w:kinsoku/>
        <w:wordWrap/>
        <w:overflowPunct/>
        <w:topLinePunct w:val="0"/>
        <w:autoSpaceDE/>
        <w:autoSpaceDN/>
        <w:bidi w:val="0"/>
        <w:snapToGrid/>
        <w:spacing w:line="600" w:lineRule="exact"/>
        <w:ind w:firstLine="624"/>
        <w:jc w:val="both"/>
        <w:textAlignment w:val="auto"/>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本单位业务管理制度健全，合法、合规、完整；项目实施严格遵守相关法律法规和业务管理规定；项目调整及支出调整手续完备；项目合同书、验收报告、技术鉴定等资料齐全并及时归档。</w:t>
      </w:r>
    </w:p>
    <w:p w14:paraId="0809DE0C">
      <w:pPr>
        <w:keepNext w:val="0"/>
        <w:keepLines w:val="0"/>
        <w:pageBreakBefore w:val="0"/>
        <w:numPr>
          <w:ilvl w:val="0"/>
          <w:numId w:val="0"/>
        </w:numPr>
        <w:kinsoku/>
        <w:wordWrap/>
        <w:overflowPunct/>
        <w:topLinePunct w:val="0"/>
        <w:autoSpaceDE/>
        <w:autoSpaceDN/>
        <w:bidi w:val="0"/>
        <w:snapToGrid/>
        <w:spacing w:line="600" w:lineRule="exact"/>
        <w:ind w:firstLine="643" w:firstLineChars="200"/>
        <w:jc w:val="both"/>
        <w:textAlignment w:val="auto"/>
        <w:rPr>
          <w:rFonts w:hint="eastAsia" w:ascii="宋体" w:hAnsi="宋体" w:eastAsia="方正仿宋简体"/>
          <w:b/>
          <w:color w:val="000000"/>
          <w:sz w:val="32"/>
          <w:szCs w:val="32"/>
          <w:lang w:val="en-US" w:eastAsia="zh-CN"/>
        </w:rPr>
      </w:pPr>
      <w:r>
        <w:rPr>
          <w:rFonts w:hint="eastAsia" w:ascii="宋体" w:hAnsi="宋体" w:eastAsia="方正仿宋简体"/>
          <w:b/>
          <w:color w:val="000000"/>
          <w:sz w:val="32"/>
          <w:szCs w:val="32"/>
          <w:lang w:val="en-US" w:eastAsia="zh-CN"/>
        </w:rPr>
        <w:t>（2）财务管理</w:t>
      </w:r>
    </w:p>
    <w:p w14:paraId="3D8FBA4B">
      <w:pPr>
        <w:keepNext w:val="0"/>
        <w:keepLines w:val="0"/>
        <w:pageBreakBefore w:val="0"/>
        <w:numPr>
          <w:ilvl w:val="0"/>
          <w:numId w:val="0"/>
        </w:numPr>
        <w:kinsoku/>
        <w:wordWrap/>
        <w:overflowPunct/>
        <w:topLinePunct w:val="0"/>
        <w:autoSpaceDE/>
        <w:autoSpaceDN/>
        <w:bidi w:val="0"/>
        <w:snapToGrid/>
        <w:spacing w:line="600" w:lineRule="exact"/>
        <w:jc w:val="both"/>
        <w:textAlignment w:val="auto"/>
        <w:rPr>
          <w:rFonts w:hint="default" w:ascii="宋体" w:hAnsi="宋体" w:eastAsia="方正仿宋简体" w:cs="Times New Roman"/>
          <w:color w:val="000000"/>
          <w:kern w:val="0"/>
          <w:sz w:val="32"/>
          <w:szCs w:val="32"/>
          <w:lang w:val="en-US" w:eastAsia="zh-CN" w:bidi="ar-SA"/>
        </w:rPr>
      </w:pPr>
      <w:r>
        <w:rPr>
          <w:rFonts w:hint="eastAsia" w:ascii="宋体" w:hAnsi="宋体" w:eastAsia="方正仿宋简体"/>
          <w:b/>
          <w:color w:val="000000"/>
          <w:sz w:val="32"/>
          <w:szCs w:val="32"/>
          <w:lang w:val="en-US" w:eastAsia="zh-CN"/>
        </w:rPr>
        <w:t xml:space="preserve">    </w:t>
      </w:r>
      <w:r>
        <w:rPr>
          <w:rFonts w:hint="eastAsia" w:ascii="宋体" w:hAnsi="宋体" w:eastAsia="方正仿宋简体" w:cs="Times New Roman"/>
          <w:color w:val="000000"/>
          <w:kern w:val="0"/>
          <w:sz w:val="32"/>
          <w:szCs w:val="32"/>
          <w:lang w:val="en-US" w:eastAsia="zh-CN" w:bidi="ar-SA"/>
        </w:rPr>
        <w:t>资金使用符合国家财经法规和财务管理制度以及有关专项资金管理办法的规定，资金支付有完整的审批程序，不存在截留、挤占、挪用、虚列支出等情况。</w:t>
      </w:r>
    </w:p>
    <w:p w14:paraId="6D203381">
      <w:pPr>
        <w:keepNext w:val="0"/>
        <w:keepLines w:val="0"/>
        <w:pageBreakBefore w:val="0"/>
        <w:kinsoku/>
        <w:wordWrap/>
        <w:overflowPunct/>
        <w:topLinePunct w:val="0"/>
        <w:autoSpaceDE/>
        <w:autoSpaceDN/>
        <w:bidi w:val="0"/>
        <w:snapToGrid/>
        <w:spacing w:line="600" w:lineRule="exact"/>
        <w:ind w:firstLine="643" w:firstLineChars="200"/>
        <w:jc w:val="both"/>
        <w:textAlignment w:val="auto"/>
        <w:rPr>
          <w:rFonts w:hint="default" w:ascii="宋体" w:hAnsi="宋体" w:eastAsia="方正仿宋简体" w:cs="Times New Roman"/>
          <w:color w:val="000000"/>
          <w:kern w:val="0"/>
          <w:sz w:val="32"/>
          <w:szCs w:val="32"/>
        </w:rPr>
      </w:pPr>
      <w:r>
        <w:rPr>
          <w:rFonts w:hint="eastAsia" w:ascii="宋体" w:hAnsi="宋体" w:eastAsia="方正仿宋简体"/>
          <w:b/>
          <w:color w:val="000000"/>
          <w:kern w:val="0"/>
          <w:sz w:val="32"/>
          <w:szCs w:val="32"/>
          <w:lang w:val="en-US" w:eastAsia="zh-CN"/>
        </w:rPr>
        <w:t>3</w:t>
      </w:r>
      <w:r>
        <w:rPr>
          <w:rFonts w:hint="eastAsia" w:ascii="宋体" w:hAnsi="宋体" w:eastAsia="方正仿宋简体"/>
          <w:b/>
          <w:color w:val="000000"/>
          <w:kern w:val="0"/>
          <w:sz w:val="32"/>
          <w:szCs w:val="32"/>
        </w:rPr>
        <w:t>.</w:t>
      </w:r>
      <w:r>
        <w:rPr>
          <w:rFonts w:hint="eastAsia" w:ascii="宋体" w:hAnsi="宋体" w:eastAsia="方正仿宋简体"/>
          <w:b/>
          <w:color w:val="000000"/>
          <w:kern w:val="0"/>
          <w:sz w:val="32"/>
          <w:szCs w:val="32"/>
          <w:lang w:eastAsia="zh-CN"/>
        </w:rPr>
        <w:t>产出</w:t>
      </w:r>
      <w:r>
        <w:rPr>
          <w:rFonts w:hint="eastAsia" w:ascii="宋体" w:hAnsi="宋体" w:eastAsia="方正仿宋简体"/>
          <w:b/>
          <w:color w:val="000000"/>
          <w:kern w:val="0"/>
          <w:sz w:val="32"/>
          <w:szCs w:val="32"/>
        </w:rPr>
        <w:t>指标分析</w:t>
      </w:r>
      <w:r>
        <w:rPr>
          <w:rFonts w:hint="default" w:ascii="宋体" w:hAnsi="宋体" w:eastAsia="方正仿宋简体" w:cs="Times New Roman"/>
          <w:color w:val="000000"/>
          <w:kern w:val="0"/>
          <w:sz w:val="32"/>
          <w:szCs w:val="32"/>
        </w:rPr>
        <w:t>（总分</w:t>
      </w:r>
      <w:r>
        <w:rPr>
          <w:rFonts w:hint="default" w:ascii="宋体" w:hAnsi="宋体" w:eastAsia="方正仿宋简体" w:cs="Times New Roman"/>
          <w:color w:val="000000"/>
          <w:kern w:val="0"/>
          <w:sz w:val="32"/>
          <w:szCs w:val="32"/>
          <w:lang w:val="en-US" w:eastAsia="zh-CN"/>
        </w:rPr>
        <w:t>20</w:t>
      </w:r>
      <w:r>
        <w:rPr>
          <w:rFonts w:hint="default" w:ascii="宋体" w:hAnsi="宋体" w:eastAsia="方正仿宋简体" w:cs="Times New Roman"/>
          <w:color w:val="000000"/>
          <w:kern w:val="0"/>
          <w:sz w:val="32"/>
          <w:szCs w:val="32"/>
        </w:rPr>
        <w:t>分，得分</w:t>
      </w:r>
      <w:r>
        <w:rPr>
          <w:rFonts w:hint="default" w:ascii="宋体" w:hAnsi="宋体" w:eastAsia="方正仿宋简体" w:cs="Times New Roman"/>
          <w:color w:val="000000"/>
          <w:kern w:val="0"/>
          <w:sz w:val="32"/>
          <w:szCs w:val="32"/>
          <w:lang w:val="en-US" w:eastAsia="zh-CN"/>
        </w:rPr>
        <w:t>20</w:t>
      </w:r>
      <w:r>
        <w:rPr>
          <w:rFonts w:hint="default" w:ascii="宋体" w:hAnsi="宋体" w:eastAsia="方正仿宋简体" w:cs="Times New Roman"/>
          <w:color w:val="000000"/>
          <w:kern w:val="0"/>
          <w:sz w:val="32"/>
          <w:szCs w:val="32"/>
        </w:rPr>
        <w:t>分）</w:t>
      </w:r>
    </w:p>
    <w:p w14:paraId="40FB4460">
      <w:pPr>
        <w:keepNext w:val="0"/>
        <w:keepLines w:val="0"/>
        <w:pageBreakBefore w:val="0"/>
        <w:kinsoku/>
        <w:wordWrap/>
        <w:overflowPunct/>
        <w:topLinePunct w:val="0"/>
        <w:autoSpaceDE/>
        <w:autoSpaceDN/>
        <w:bidi w:val="0"/>
        <w:snapToGrid/>
        <w:spacing w:line="600" w:lineRule="exact"/>
        <w:ind w:firstLine="660" w:firstLineChars="200"/>
        <w:jc w:val="both"/>
        <w:textAlignment w:val="auto"/>
        <w:rPr>
          <w:rFonts w:hint="default" w:ascii="宋体" w:hAnsi="宋体" w:eastAsia="方正仿宋简体"/>
          <w:b/>
          <w:color w:val="000000"/>
          <w:kern w:val="0"/>
          <w:sz w:val="32"/>
          <w:szCs w:val="32"/>
          <w:lang w:val="en-US" w:eastAsia="zh-CN"/>
        </w:rPr>
      </w:pPr>
      <w:r>
        <w:rPr>
          <w:rFonts w:hint="eastAsia" w:ascii="宋体" w:hAnsi="宋体" w:eastAsia="方正仿宋简体"/>
          <w:spacing w:val="0"/>
          <w:sz w:val="33"/>
          <w:szCs w:val="33"/>
          <w:lang w:eastAsia="zh-CN"/>
        </w:rPr>
        <w:t>组织政法机关法学会会员深入走访园区企业</w:t>
      </w:r>
      <w:r>
        <w:rPr>
          <w:rFonts w:hint="eastAsia" w:ascii="宋体" w:hAnsi="宋体" w:eastAsia="方正仿宋简体"/>
          <w:spacing w:val="0"/>
          <w:sz w:val="33"/>
          <w:szCs w:val="33"/>
          <w:lang w:val="en-US" w:eastAsia="zh-CN"/>
        </w:rPr>
        <w:t>486家</w:t>
      </w:r>
      <w:r>
        <w:rPr>
          <w:rFonts w:hint="eastAsia" w:ascii="宋体" w:hAnsi="宋体" w:eastAsia="方正仿宋简体"/>
          <w:spacing w:val="0"/>
          <w:sz w:val="33"/>
          <w:szCs w:val="33"/>
          <w:lang w:eastAsia="zh-CN"/>
        </w:rPr>
        <w:t>，开展专项法律培训</w:t>
      </w:r>
      <w:r>
        <w:rPr>
          <w:rFonts w:hint="eastAsia" w:ascii="宋体" w:hAnsi="宋体" w:eastAsia="方正仿宋简体"/>
          <w:spacing w:val="0"/>
          <w:sz w:val="33"/>
          <w:szCs w:val="33"/>
          <w:lang w:val="en-US" w:eastAsia="zh-CN"/>
        </w:rPr>
        <w:t>71场次</w:t>
      </w:r>
      <w:r>
        <w:rPr>
          <w:rFonts w:hint="eastAsia" w:ascii="宋体" w:hAnsi="宋体" w:eastAsia="方正仿宋简体"/>
          <w:spacing w:val="0"/>
          <w:sz w:val="33"/>
          <w:szCs w:val="33"/>
          <w:lang w:eastAsia="zh-CN"/>
        </w:rPr>
        <w:t>，出台服务保障措施</w:t>
      </w:r>
      <w:r>
        <w:rPr>
          <w:rFonts w:hint="eastAsia" w:ascii="宋体" w:hAnsi="宋体" w:eastAsia="方正仿宋简体"/>
          <w:spacing w:val="0"/>
          <w:sz w:val="33"/>
          <w:szCs w:val="33"/>
          <w:lang w:val="en-US" w:eastAsia="zh-CN"/>
        </w:rPr>
        <w:t>289条。实际完成率＝实际产出数／计划产出数=100%，完成及时率=100%，质量达标率=100%。</w:t>
      </w:r>
    </w:p>
    <w:p w14:paraId="0A527705">
      <w:pPr>
        <w:keepNext w:val="0"/>
        <w:keepLines w:val="0"/>
        <w:pageBreakBefore w:val="0"/>
        <w:numPr>
          <w:ilvl w:val="0"/>
          <w:numId w:val="0"/>
        </w:numPr>
        <w:kinsoku/>
        <w:wordWrap/>
        <w:overflowPunct/>
        <w:topLinePunct w:val="0"/>
        <w:autoSpaceDE/>
        <w:autoSpaceDN/>
        <w:bidi w:val="0"/>
        <w:snapToGrid/>
        <w:spacing w:line="600" w:lineRule="exact"/>
        <w:ind w:leftChars="196"/>
        <w:jc w:val="both"/>
        <w:textAlignment w:val="auto"/>
        <w:rPr>
          <w:rFonts w:hint="eastAsia" w:ascii="宋体" w:hAnsi="宋体" w:eastAsia="方正仿宋简体"/>
          <w:color w:val="000000"/>
          <w:kern w:val="0"/>
          <w:sz w:val="32"/>
          <w:szCs w:val="32"/>
        </w:rPr>
      </w:pPr>
      <w:r>
        <w:rPr>
          <w:rFonts w:hint="eastAsia" w:ascii="宋体" w:hAnsi="宋体" w:eastAsia="方正仿宋简体"/>
          <w:b/>
          <w:color w:val="000000"/>
          <w:kern w:val="0"/>
          <w:sz w:val="32"/>
          <w:szCs w:val="32"/>
          <w:lang w:val="en-US" w:eastAsia="zh-CN"/>
        </w:rPr>
        <w:t>4.</w:t>
      </w:r>
      <w:r>
        <w:rPr>
          <w:rFonts w:hint="eastAsia" w:ascii="宋体" w:hAnsi="宋体" w:eastAsia="方正仿宋简体"/>
          <w:b/>
          <w:color w:val="000000"/>
          <w:kern w:val="0"/>
          <w:sz w:val="32"/>
          <w:szCs w:val="32"/>
          <w:lang w:eastAsia="zh-CN"/>
        </w:rPr>
        <w:t>效果</w:t>
      </w:r>
      <w:r>
        <w:rPr>
          <w:rFonts w:hint="eastAsia" w:ascii="宋体" w:hAnsi="宋体" w:eastAsia="方正仿宋简体"/>
          <w:b/>
          <w:color w:val="000000"/>
          <w:kern w:val="0"/>
          <w:sz w:val="32"/>
          <w:szCs w:val="32"/>
        </w:rPr>
        <w:t>指标分析</w:t>
      </w:r>
      <w:r>
        <w:rPr>
          <w:rFonts w:hint="eastAsia" w:ascii="宋体" w:hAnsi="宋体" w:eastAsia="方正仿宋简体"/>
          <w:color w:val="000000"/>
          <w:kern w:val="0"/>
          <w:sz w:val="32"/>
          <w:szCs w:val="32"/>
        </w:rPr>
        <w:t>（总分</w:t>
      </w:r>
      <w:r>
        <w:rPr>
          <w:rFonts w:ascii="宋体" w:hAnsi="宋体" w:eastAsia="方正仿宋简体" w:cs="Times New Roman"/>
          <w:color w:val="000000"/>
          <w:kern w:val="0"/>
          <w:sz w:val="32"/>
          <w:szCs w:val="32"/>
        </w:rPr>
        <w:t>30分，得分</w:t>
      </w:r>
      <w:r>
        <w:rPr>
          <w:rFonts w:hint="eastAsia" w:ascii="宋体" w:hAnsi="宋体" w:eastAsia="方正仿宋简体" w:cs="Times New Roman"/>
          <w:color w:val="000000"/>
          <w:kern w:val="0"/>
          <w:sz w:val="32"/>
          <w:szCs w:val="32"/>
          <w:lang w:val="en-US" w:eastAsia="zh-CN"/>
        </w:rPr>
        <w:t>30</w:t>
      </w:r>
      <w:r>
        <w:rPr>
          <w:rFonts w:hint="eastAsia" w:ascii="宋体" w:hAnsi="宋体" w:eastAsia="方正仿宋简体"/>
          <w:color w:val="000000"/>
          <w:kern w:val="0"/>
          <w:sz w:val="32"/>
          <w:szCs w:val="32"/>
        </w:rPr>
        <w:t>分）</w:t>
      </w:r>
    </w:p>
    <w:p w14:paraId="3FD71A05">
      <w:pPr>
        <w:keepNext w:val="0"/>
        <w:keepLines w:val="0"/>
        <w:pageBreakBefore w:val="0"/>
        <w:numPr>
          <w:ilvl w:val="0"/>
          <w:numId w:val="0"/>
        </w:numPr>
        <w:kinsoku/>
        <w:wordWrap/>
        <w:overflowPunct/>
        <w:topLinePunct w:val="0"/>
        <w:autoSpaceDE/>
        <w:autoSpaceDN/>
        <w:bidi w:val="0"/>
        <w:snapToGrid/>
        <w:spacing w:line="600" w:lineRule="exact"/>
        <w:ind w:firstLine="660" w:firstLineChars="200"/>
        <w:jc w:val="both"/>
        <w:textAlignment w:val="auto"/>
        <w:rPr>
          <w:rFonts w:hint="eastAsia" w:ascii="宋体" w:hAnsi="宋体"/>
          <w:lang w:eastAsia="zh-CN"/>
        </w:rPr>
      </w:pPr>
      <w:r>
        <w:rPr>
          <w:rFonts w:hint="eastAsia" w:ascii="宋体" w:hAnsi="宋体" w:eastAsia="方正仿宋简体"/>
          <w:spacing w:val="0"/>
          <w:sz w:val="33"/>
          <w:szCs w:val="33"/>
        </w:rPr>
        <w:t>持续更新执法司法理念，优化法治供给，</w:t>
      </w:r>
      <w:r>
        <w:rPr>
          <w:rFonts w:hint="eastAsia" w:ascii="宋体" w:hAnsi="宋体" w:eastAsia="方正仿宋简体"/>
          <w:spacing w:val="0"/>
          <w:sz w:val="33"/>
          <w:szCs w:val="33"/>
          <w:lang w:val="en-US" w:eastAsia="zh-CN"/>
        </w:rPr>
        <w:t>持续优化法治化营商环境，群众对行政执法突出问题整治满意率达99%。</w:t>
      </w:r>
    </w:p>
    <w:p w14:paraId="483DB112">
      <w:pPr>
        <w:pStyle w:val="2"/>
        <w:numPr>
          <w:ilvl w:val="0"/>
          <w:numId w:val="3"/>
        </w:numPr>
        <w:spacing w:after="0" w:line="590" w:lineRule="exact"/>
        <w:ind w:firstLine="640" w:firstLineChars="200"/>
        <w:rPr>
          <w:rFonts w:ascii="宋体" w:hAnsi="宋体" w:eastAsia="方正黑体简体"/>
          <w:sz w:val="32"/>
          <w:szCs w:val="32"/>
        </w:rPr>
      </w:pPr>
      <w:r>
        <w:rPr>
          <w:rFonts w:ascii="宋体" w:hAnsi="宋体" w:eastAsia="方正黑体简体"/>
          <w:sz w:val="32"/>
          <w:szCs w:val="32"/>
        </w:rPr>
        <w:t>主要经验及做法、存在的问题和建议</w:t>
      </w:r>
    </w:p>
    <w:p w14:paraId="1CF3D112">
      <w:pPr>
        <w:pStyle w:val="2"/>
        <w:rPr>
          <w:rFonts w:hint="eastAsia" w:ascii="宋体" w:hAnsi="宋体"/>
          <w:lang w:val="en-US" w:eastAsia="zh-CN"/>
        </w:rPr>
      </w:pPr>
      <w:r>
        <w:rPr>
          <w:rFonts w:hint="eastAsia" w:ascii="宋体" w:hAnsi="宋体" w:eastAsia="方正仿宋简体"/>
          <w:color w:val="FF0000"/>
          <w:sz w:val="32"/>
          <w:szCs w:val="32"/>
          <w:lang w:val="en-US" w:eastAsia="zh-CN"/>
        </w:rPr>
        <w:t>　　</w:t>
      </w:r>
      <w:r>
        <w:rPr>
          <w:rFonts w:hint="eastAsia" w:ascii="宋体" w:hAnsi="宋体" w:eastAsia="方正仿宋简体" w:cs="Times New Roman"/>
          <w:color w:val="000000"/>
          <w:kern w:val="0"/>
          <w:sz w:val="32"/>
          <w:szCs w:val="32"/>
          <w:lang w:val="en-US" w:eastAsia="zh-CN"/>
        </w:rPr>
        <w:t>无</w:t>
      </w:r>
    </w:p>
    <w:p w14:paraId="48443D61">
      <w:pPr>
        <w:pStyle w:val="2"/>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ascii="宋体" w:hAnsi="宋体" w:eastAsia="方正仿宋简体"/>
          <w:color w:val="000000"/>
          <w:kern w:val="0"/>
          <w:sz w:val="32"/>
          <w:szCs w:val="32"/>
        </w:rPr>
      </w:pPr>
      <w:r>
        <w:rPr>
          <w:rFonts w:ascii="宋体" w:hAnsi="宋体" w:eastAsia="方正仿宋简体"/>
          <w:sz w:val="32"/>
          <w:szCs w:val="32"/>
        </w:rPr>
        <w:t>附：</w:t>
      </w:r>
      <w:r>
        <w:rPr>
          <w:rFonts w:ascii="宋体" w:hAnsi="宋体" w:eastAsia="方正仿宋简体"/>
          <w:color w:val="000000"/>
          <w:kern w:val="0"/>
          <w:sz w:val="32"/>
          <w:szCs w:val="32"/>
        </w:rPr>
        <w:t>1．20</w:t>
      </w:r>
      <w:r>
        <w:rPr>
          <w:rFonts w:hint="eastAsia" w:ascii="宋体" w:hAnsi="宋体" w:eastAsia="方正仿宋简体"/>
          <w:color w:val="000000"/>
          <w:kern w:val="0"/>
          <w:sz w:val="32"/>
          <w:szCs w:val="32"/>
        </w:rPr>
        <w:t>2</w:t>
      </w:r>
      <w:r>
        <w:rPr>
          <w:rFonts w:hint="eastAsia" w:ascii="宋体" w:hAnsi="宋体" w:eastAsia="方正仿宋简体"/>
          <w:color w:val="000000"/>
          <w:kern w:val="0"/>
          <w:sz w:val="32"/>
          <w:szCs w:val="32"/>
          <w:lang w:val="en-US" w:eastAsia="zh-CN"/>
        </w:rPr>
        <w:t>3</w:t>
      </w:r>
      <w:r>
        <w:rPr>
          <w:rFonts w:ascii="宋体" w:hAnsi="宋体" w:eastAsia="方正仿宋简体"/>
          <w:color w:val="000000"/>
          <w:kern w:val="0"/>
          <w:sz w:val="32"/>
          <w:szCs w:val="32"/>
        </w:rPr>
        <w:t>年度市本级项目支出绩效自评计分表</w:t>
      </w:r>
    </w:p>
    <w:p w14:paraId="7312F318">
      <w:pPr>
        <w:pStyle w:val="2"/>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宋体" w:hAnsi="宋体" w:eastAsia="方正仿宋简体"/>
          <w:color w:val="000000"/>
          <w:kern w:val="0"/>
          <w:sz w:val="32"/>
          <w:szCs w:val="32"/>
        </w:rPr>
      </w:pPr>
      <w:r>
        <w:rPr>
          <w:rFonts w:ascii="宋体" w:hAnsi="宋体" w:eastAsia="方正仿宋简体"/>
          <w:sz w:val="32"/>
          <w:szCs w:val="32"/>
        </w:rPr>
        <w:t>2．</w:t>
      </w:r>
      <w:r>
        <w:rPr>
          <w:rFonts w:ascii="宋体" w:hAnsi="宋体" w:eastAsia="方正仿宋简体"/>
          <w:color w:val="000000"/>
          <w:kern w:val="0"/>
          <w:sz w:val="32"/>
          <w:szCs w:val="32"/>
        </w:rPr>
        <w:t>20</w:t>
      </w:r>
      <w:r>
        <w:rPr>
          <w:rFonts w:hint="eastAsia" w:ascii="宋体" w:hAnsi="宋体" w:eastAsia="方正仿宋简体"/>
          <w:color w:val="000000"/>
          <w:kern w:val="0"/>
          <w:sz w:val="32"/>
          <w:szCs w:val="32"/>
        </w:rPr>
        <w:t>2</w:t>
      </w:r>
      <w:r>
        <w:rPr>
          <w:rFonts w:hint="eastAsia" w:ascii="宋体" w:hAnsi="宋体" w:eastAsia="方正仿宋简体"/>
          <w:color w:val="000000"/>
          <w:kern w:val="0"/>
          <w:sz w:val="32"/>
          <w:szCs w:val="32"/>
          <w:lang w:val="en-US" w:eastAsia="zh-CN"/>
        </w:rPr>
        <w:t>3</w:t>
      </w:r>
      <w:r>
        <w:rPr>
          <w:rFonts w:ascii="宋体" w:hAnsi="宋体" w:eastAsia="方正仿宋简体"/>
          <w:color w:val="000000"/>
          <w:kern w:val="0"/>
          <w:sz w:val="32"/>
          <w:szCs w:val="32"/>
        </w:rPr>
        <w:t>年度市本级项目支出绩效目标完成情况表</w:t>
      </w:r>
    </w:p>
    <w:p w14:paraId="2368F3E2">
      <w:pPr>
        <w:rPr>
          <w:rFonts w:ascii="宋体" w:hAnsi="宋体"/>
        </w:rPr>
      </w:pPr>
    </w:p>
    <w:p w14:paraId="172FFD7D">
      <w:pPr>
        <w:pStyle w:val="2"/>
        <w:rPr>
          <w:rFonts w:ascii="宋体" w:hAnsi="宋体"/>
        </w:rPr>
      </w:pPr>
    </w:p>
    <w:p w14:paraId="07C7113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方正黑体简体"/>
          <w:sz w:val="32"/>
          <w:szCs w:val="32"/>
          <w:lang w:val="en-US" w:eastAsia="zh-CN"/>
        </w:rPr>
      </w:pPr>
      <w:r>
        <w:rPr>
          <w:rFonts w:ascii="宋体" w:hAnsi="宋体" w:eastAsia="方正黑体简体"/>
          <w:sz w:val="32"/>
          <w:szCs w:val="32"/>
        </w:rPr>
        <w:t>附</w:t>
      </w:r>
      <w:r>
        <w:rPr>
          <w:rFonts w:hint="eastAsia" w:ascii="宋体" w:hAnsi="宋体" w:eastAsia="方正黑体简体"/>
          <w:sz w:val="32"/>
          <w:szCs w:val="32"/>
          <w:lang w:eastAsia="zh-CN"/>
        </w:rPr>
        <w:t>表</w:t>
      </w:r>
      <w:r>
        <w:rPr>
          <w:rFonts w:hint="eastAsia" w:ascii="宋体" w:hAnsi="宋体" w:eastAsia="方正黑体简体"/>
          <w:sz w:val="32"/>
          <w:szCs w:val="32"/>
          <w:lang w:val="en-US" w:eastAsia="zh-CN"/>
        </w:rPr>
        <w:t>5-1</w:t>
      </w:r>
    </w:p>
    <w:p w14:paraId="4E02CEB4">
      <w:pPr>
        <w:keepNext w:val="0"/>
        <w:keepLines w:val="0"/>
        <w:pageBreakBefore w:val="0"/>
        <w:kinsoku/>
        <w:wordWrap/>
        <w:overflowPunct/>
        <w:topLinePunct w:val="0"/>
        <w:autoSpaceDE/>
        <w:autoSpaceDN/>
        <w:bidi w:val="0"/>
        <w:adjustRightInd/>
        <w:snapToGrid/>
        <w:spacing w:line="600" w:lineRule="exact"/>
        <w:ind w:firstLine="400" w:firstLineChars="100"/>
        <w:jc w:val="center"/>
        <w:textAlignment w:val="auto"/>
        <w:rPr>
          <w:rFonts w:ascii="宋体" w:hAnsi="宋体" w:eastAsia="方正小标宋简体"/>
          <w:bCs/>
          <w:kern w:val="0"/>
          <w:sz w:val="40"/>
          <w:szCs w:val="40"/>
        </w:rPr>
      </w:pPr>
      <w:r>
        <w:rPr>
          <w:rFonts w:ascii="宋体" w:hAnsi="宋体" w:eastAsia="方正小标宋简体"/>
          <w:bCs/>
          <w:kern w:val="0"/>
          <w:sz w:val="40"/>
          <w:szCs w:val="40"/>
        </w:rPr>
        <w:t>20</w:t>
      </w:r>
      <w:r>
        <w:rPr>
          <w:rFonts w:hint="eastAsia" w:ascii="宋体" w:hAnsi="宋体" w:eastAsia="方正小标宋简体"/>
          <w:bCs/>
          <w:kern w:val="0"/>
          <w:sz w:val="40"/>
          <w:szCs w:val="40"/>
        </w:rPr>
        <w:t>2</w:t>
      </w:r>
      <w:r>
        <w:rPr>
          <w:rFonts w:hint="eastAsia" w:ascii="宋体" w:hAnsi="宋体" w:eastAsia="方正小标宋简体"/>
          <w:bCs/>
          <w:kern w:val="0"/>
          <w:sz w:val="40"/>
          <w:szCs w:val="40"/>
          <w:lang w:val="en-US" w:eastAsia="zh-CN"/>
        </w:rPr>
        <w:t>3</w:t>
      </w:r>
      <w:r>
        <w:rPr>
          <w:rFonts w:ascii="宋体" w:hAnsi="宋体" w:eastAsia="方正小标宋简体"/>
          <w:bCs/>
          <w:kern w:val="0"/>
          <w:sz w:val="40"/>
          <w:szCs w:val="40"/>
        </w:rPr>
        <w:t>年度市本级项目支出绩效自评计分表</w:t>
      </w:r>
    </w:p>
    <w:p w14:paraId="7B13EA17">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eastAsia="楷体_GB2312"/>
          <w:b/>
          <w:bCs/>
          <w:kern w:val="0"/>
          <w:sz w:val="20"/>
          <w:szCs w:val="20"/>
        </w:rPr>
      </w:pPr>
      <w:r>
        <w:rPr>
          <w:rFonts w:ascii="宋体" w:hAnsi="宋体" w:eastAsia="楷体_GB2312"/>
          <w:b/>
          <w:bCs/>
          <w:kern w:val="0"/>
          <w:sz w:val="20"/>
          <w:szCs w:val="20"/>
        </w:rPr>
        <w:t>（</w:t>
      </w:r>
      <w:r>
        <w:rPr>
          <w:rFonts w:hint="eastAsia" w:ascii="宋体" w:hAnsi="宋体" w:eastAsia="楷体_GB2312"/>
          <w:b/>
          <w:bCs/>
          <w:kern w:val="0"/>
          <w:sz w:val="20"/>
          <w:szCs w:val="20"/>
          <w:lang w:eastAsia="zh-CN"/>
        </w:rPr>
        <w:t>法学会工作经费</w:t>
      </w:r>
      <w:r>
        <w:rPr>
          <w:rFonts w:ascii="宋体" w:hAnsi="宋体" w:eastAsia="楷体_GB2312"/>
          <w:b/>
          <w:bCs/>
          <w:kern w:val="0"/>
          <w:sz w:val="20"/>
          <w:szCs w:val="20"/>
        </w:rPr>
        <w:t>项目）</w:t>
      </w:r>
    </w:p>
    <w:p w14:paraId="7C1B6A5D">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楷体_GB2312"/>
          <w:sz w:val="32"/>
          <w:szCs w:val="32"/>
          <w:lang w:eastAsia="zh-CN"/>
        </w:rPr>
      </w:pPr>
      <w:r>
        <w:rPr>
          <w:rFonts w:ascii="宋体" w:hAnsi="宋体" w:eastAsia="楷体_GB2312"/>
          <w:b/>
          <w:bCs/>
          <w:kern w:val="0"/>
          <w:sz w:val="20"/>
          <w:szCs w:val="20"/>
        </w:rPr>
        <w:t>预算单位名称：</w:t>
      </w:r>
      <w:r>
        <w:rPr>
          <w:rFonts w:hint="eastAsia" w:ascii="宋体" w:hAnsi="宋体" w:eastAsia="楷体_GB2312"/>
          <w:b/>
          <w:bCs/>
          <w:kern w:val="0"/>
          <w:sz w:val="20"/>
          <w:szCs w:val="20"/>
          <w:lang w:eastAsia="zh-CN"/>
        </w:rPr>
        <w:t>中共资阳市委政法委员会</w:t>
      </w:r>
      <w:r>
        <w:rPr>
          <w:rFonts w:ascii="宋体" w:hAnsi="宋体" w:eastAsia="楷体_GB2312"/>
          <w:b/>
          <w:bCs/>
          <w:kern w:val="0"/>
          <w:sz w:val="20"/>
          <w:szCs w:val="20"/>
        </w:rPr>
        <w:t xml:space="preserve">       预算单位编码：</w:t>
      </w:r>
      <w:r>
        <w:rPr>
          <w:rFonts w:hint="eastAsia" w:ascii="宋体" w:hAnsi="宋体" w:eastAsia="楷体_GB2312"/>
          <w:b/>
          <w:bCs/>
          <w:kern w:val="0"/>
          <w:sz w:val="20"/>
          <w:szCs w:val="20"/>
          <w:lang w:val="en-US" w:eastAsia="zh-CN"/>
        </w:rPr>
        <w:t>106001</w:t>
      </w:r>
      <w:r>
        <w:rPr>
          <w:rFonts w:ascii="宋体" w:hAnsi="宋体" w:eastAsia="楷体_GB2312"/>
          <w:b/>
          <w:bCs/>
          <w:kern w:val="0"/>
          <w:sz w:val="20"/>
          <w:szCs w:val="20"/>
        </w:rPr>
        <w:t xml:space="preserve">       自评等级：</w:t>
      </w:r>
      <w:r>
        <w:rPr>
          <w:rFonts w:hint="eastAsia" w:ascii="宋体" w:hAnsi="宋体" w:eastAsia="楷体_GB2312"/>
          <w:b/>
          <w:bCs/>
          <w:kern w:val="0"/>
          <w:sz w:val="20"/>
          <w:szCs w:val="20"/>
          <w:lang w:eastAsia="zh-CN"/>
        </w:rPr>
        <w:t>优</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48"/>
        <w:gridCol w:w="798"/>
        <w:gridCol w:w="1648"/>
        <w:gridCol w:w="3489"/>
        <w:gridCol w:w="877"/>
        <w:gridCol w:w="846"/>
      </w:tblGrid>
      <w:tr w14:paraId="4927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816" w:type="dxa"/>
            <w:shd w:val="clear" w:color="000000" w:fill="FFFFFF"/>
            <w:noWrap w:val="0"/>
            <w:vAlign w:val="center"/>
          </w:tcPr>
          <w:p w14:paraId="2661BF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一级</w:t>
            </w:r>
            <w:r>
              <w:rPr>
                <w:rFonts w:ascii="宋体" w:hAnsi="宋体"/>
                <w:b/>
                <w:bCs/>
                <w:kern w:val="0"/>
                <w:sz w:val="20"/>
                <w:szCs w:val="20"/>
              </w:rPr>
              <w:br w:type="textWrapping"/>
            </w:r>
            <w:r>
              <w:rPr>
                <w:rFonts w:ascii="宋体" w:hAnsi="宋体"/>
                <w:b/>
                <w:bCs/>
                <w:kern w:val="0"/>
                <w:sz w:val="20"/>
                <w:szCs w:val="20"/>
              </w:rPr>
              <w:t>指标</w:t>
            </w:r>
          </w:p>
        </w:tc>
        <w:tc>
          <w:tcPr>
            <w:tcW w:w="648" w:type="dxa"/>
            <w:shd w:val="clear" w:color="000000" w:fill="FFFFFF"/>
            <w:noWrap w:val="0"/>
            <w:vAlign w:val="center"/>
          </w:tcPr>
          <w:p w14:paraId="4D2B8E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二级</w:t>
            </w:r>
            <w:r>
              <w:rPr>
                <w:rFonts w:ascii="宋体" w:hAnsi="宋体"/>
                <w:b/>
                <w:bCs/>
                <w:kern w:val="0"/>
                <w:sz w:val="20"/>
                <w:szCs w:val="20"/>
              </w:rPr>
              <w:br w:type="textWrapping"/>
            </w:r>
            <w:r>
              <w:rPr>
                <w:rFonts w:ascii="宋体" w:hAnsi="宋体"/>
                <w:b/>
                <w:bCs/>
                <w:kern w:val="0"/>
                <w:sz w:val="20"/>
                <w:szCs w:val="20"/>
              </w:rPr>
              <w:t>指标</w:t>
            </w:r>
          </w:p>
        </w:tc>
        <w:tc>
          <w:tcPr>
            <w:tcW w:w="798" w:type="dxa"/>
            <w:shd w:val="clear" w:color="000000" w:fill="FFFFFF"/>
            <w:noWrap w:val="0"/>
            <w:vAlign w:val="center"/>
          </w:tcPr>
          <w:p w14:paraId="462EC7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三级</w:t>
            </w:r>
          </w:p>
          <w:p w14:paraId="28D5FA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w:t>
            </w:r>
          </w:p>
        </w:tc>
        <w:tc>
          <w:tcPr>
            <w:tcW w:w="1648" w:type="dxa"/>
            <w:shd w:val="clear" w:color="000000" w:fill="FFFFFF"/>
            <w:noWrap w:val="0"/>
            <w:vAlign w:val="center"/>
          </w:tcPr>
          <w:p w14:paraId="1D8692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指标解释</w:t>
            </w:r>
          </w:p>
        </w:tc>
        <w:tc>
          <w:tcPr>
            <w:tcW w:w="3489" w:type="dxa"/>
            <w:shd w:val="clear" w:color="000000" w:fill="FFFFFF"/>
            <w:noWrap w:val="0"/>
            <w:vAlign w:val="center"/>
          </w:tcPr>
          <w:p w14:paraId="3A9965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指标说明（评价计分标准）</w:t>
            </w:r>
          </w:p>
        </w:tc>
        <w:tc>
          <w:tcPr>
            <w:tcW w:w="877" w:type="dxa"/>
            <w:shd w:val="clear" w:color="000000" w:fill="FFFFFF"/>
            <w:noWrap w:val="0"/>
            <w:vAlign w:val="center"/>
          </w:tcPr>
          <w:p w14:paraId="179C31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自评</w:t>
            </w:r>
          </w:p>
          <w:p w14:paraId="0237FE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分数</w:t>
            </w:r>
          </w:p>
        </w:tc>
        <w:tc>
          <w:tcPr>
            <w:tcW w:w="846" w:type="dxa"/>
            <w:shd w:val="clear" w:color="000000" w:fill="FFFFFF"/>
            <w:noWrap w:val="0"/>
            <w:vAlign w:val="center"/>
          </w:tcPr>
          <w:p w14:paraId="170893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kern w:val="0"/>
                <w:sz w:val="20"/>
                <w:szCs w:val="20"/>
              </w:rPr>
            </w:pPr>
            <w:r>
              <w:rPr>
                <w:rFonts w:ascii="宋体" w:hAnsi="宋体"/>
                <w:b/>
                <w:bCs/>
                <w:kern w:val="0"/>
                <w:sz w:val="20"/>
                <w:szCs w:val="20"/>
              </w:rPr>
              <w:t>自评依据及说明</w:t>
            </w:r>
          </w:p>
        </w:tc>
      </w:tr>
      <w:tr w14:paraId="128D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816" w:type="dxa"/>
            <w:vMerge w:val="restart"/>
            <w:shd w:val="clear" w:color="000000" w:fill="FFFFFF"/>
            <w:noWrap w:val="0"/>
            <w:textDirection w:val="tbRlV"/>
            <w:vAlign w:val="center"/>
          </w:tcPr>
          <w:p w14:paraId="1B27AF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投   入（25分）</w:t>
            </w:r>
          </w:p>
        </w:tc>
        <w:tc>
          <w:tcPr>
            <w:tcW w:w="648" w:type="dxa"/>
            <w:vMerge w:val="restart"/>
            <w:shd w:val="clear" w:color="000000" w:fill="FFFFFF"/>
            <w:noWrap w:val="0"/>
            <w:vAlign w:val="center"/>
          </w:tcPr>
          <w:p w14:paraId="20F83F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立项（15分）</w:t>
            </w:r>
          </w:p>
        </w:tc>
        <w:tc>
          <w:tcPr>
            <w:tcW w:w="798" w:type="dxa"/>
            <w:shd w:val="clear" w:color="000000" w:fill="FFFFFF"/>
            <w:noWrap w:val="0"/>
            <w:vAlign w:val="center"/>
          </w:tcPr>
          <w:p w14:paraId="161AC31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项目立项规范性（5分）</w:t>
            </w:r>
          </w:p>
        </w:tc>
        <w:tc>
          <w:tcPr>
            <w:tcW w:w="1648" w:type="dxa"/>
            <w:shd w:val="clear" w:color="000000" w:fill="FFFFFF"/>
            <w:noWrap w:val="0"/>
            <w:vAlign w:val="center"/>
          </w:tcPr>
          <w:p w14:paraId="204E395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项目的申请、设立过程是否符合相关要求，用以反映和考核项目立项的规范情况。</w:t>
            </w:r>
          </w:p>
        </w:tc>
        <w:tc>
          <w:tcPr>
            <w:tcW w:w="3489" w:type="dxa"/>
            <w:shd w:val="clear" w:color="000000" w:fill="FFFFFF"/>
            <w:noWrap w:val="0"/>
            <w:vAlign w:val="center"/>
          </w:tcPr>
          <w:p w14:paraId="5B9082D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项目是否按照规定的程序申请设立；（1分）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所提交的文件、材料是否符合相关要求；（2分）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事前是否已经过必要的可行性研究、专家论证、风险评估、集体决策等。（2分）</w:t>
            </w:r>
          </w:p>
        </w:tc>
        <w:tc>
          <w:tcPr>
            <w:tcW w:w="877" w:type="dxa"/>
            <w:noWrap w:val="0"/>
            <w:vAlign w:val="center"/>
          </w:tcPr>
          <w:p w14:paraId="1254A95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lang w:val="en-US" w:eastAsia="zh-CN"/>
              </w:rPr>
              <w:t>5</w:t>
            </w:r>
            <w:r>
              <w:rPr>
                <w:rFonts w:ascii="宋体" w:hAnsi="宋体"/>
                <w:kern w:val="0"/>
                <w:sz w:val="24"/>
              </w:rPr>
              <w:t>　</w:t>
            </w:r>
          </w:p>
        </w:tc>
        <w:tc>
          <w:tcPr>
            <w:tcW w:w="846" w:type="dxa"/>
            <w:noWrap w:val="0"/>
            <w:vAlign w:val="center"/>
          </w:tcPr>
          <w:p w14:paraId="5F244A5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119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816" w:type="dxa"/>
            <w:vMerge w:val="continue"/>
            <w:shd w:val="clear" w:color="auto" w:fill="auto"/>
            <w:noWrap w:val="0"/>
            <w:vAlign w:val="center"/>
          </w:tcPr>
          <w:p w14:paraId="49B91B8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1E4900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61289C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绩效目标合理性（4分）</w:t>
            </w:r>
          </w:p>
        </w:tc>
        <w:tc>
          <w:tcPr>
            <w:tcW w:w="1648" w:type="dxa"/>
            <w:shd w:val="clear" w:color="000000" w:fill="FFFFFF"/>
            <w:noWrap w:val="0"/>
            <w:vAlign w:val="center"/>
          </w:tcPr>
          <w:p w14:paraId="6D4CBD8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项目所设定的绩效目标是否依据充分，是否符合客观实际，用以反映和考核项目绩效目标与项目实施的相符情况。</w:t>
            </w:r>
          </w:p>
        </w:tc>
        <w:tc>
          <w:tcPr>
            <w:tcW w:w="3489" w:type="dxa"/>
            <w:shd w:val="clear" w:color="000000" w:fill="FFFFFF"/>
            <w:noWrap w:val="0"/>
            <w:vAlign w:val="center"/>
          </w:tcPr>
          <w:p w14:paraId="63F778E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是否符合国家相关法律法规、国民经济发展规划和党委政府决策；（1分）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是否与项目实施单位或委托单位职责密切相关；（1分）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项目是否为促进事业发展所必需；（1分）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项目预期产出效益和效果是否符合正常的业绩水平。（1分）</w:t>
            </w:r>
          </w:p>
        </w:tc>
        <w:tc>
          <w:tcPr>
            <w:tcW w:w="877" w:type="dxa"/>
            <w:noWrap w:val="0"/>
            <w:vAlign w:val="center"/>
          </w:tcPr>
          <w:p w14:paraId="623B13A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hint="eastAsia" w:ascii="宋体" w:hAnsi="宋体"/>
                <w:kern w:val="0"/>
                <w:sz w:val="24"/>
                <w:lang w:val="en-US" w:eastAsia="zh-CN"/>
              </w:rPr>
              <w:t>4</w:t>
            </w:r>
          </w:p>
        </w:tc>
        <w:tc>
          <w:tcPr>
            <w:tcW w:w="846" w:type="dxa"/>
            <w:noWrap w:val="0"/>
            <w:vAlign w:val="center"/>
          </w:tcPr>
          <w:p w14:paraId="27BF1C9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868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trPr>
        <w:tc>
          <w:tcPr>
            <w:tcW w:w="816" w:type="dxa"/>
            <w:vMerge w:val="continue"/>
            <w:shd w:val="clear" w:color="auto" w:fill="auto"/>
            <w:noWrap w:val="0"/>
            <w:vAlign w:val="center"/>
          </w:tcPr>
          <w:p w14:paraId="411FD33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2BA4B36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039402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绩效指标明确性（6分）</w:t>
            </w:r>
          </w:p>
        </w:tc>
        <w:tc>
          <w:tcPr>
            <w:tcW w:w="1648" w:type="dxa"/>
            <w:shd w:val="clear" w:color="000000" w:fill="FFFFFF"/>
            <w:noWrap w:val="0"/>
            <w:vAlign w:val="center"/>
          </w:tcPr>
          <w:p w14:paraId="5EFF4E7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依据绩效目标设定的绩效指标是否清晰、细化、可衡量等，用以反映和考核项目绩效目标的明细化情况。</w:t>
            </w:r>
          </w:p>
        </w:tc>
        <w:tc>
          <w:tcPr>
            <w:tcW w:w="3489" w:type="dxa"/>
            <w:shd w:val="clear" w:color="000000" w:fill="FFFFFF"/>
            <w:noWrap w:val="0"/>
            <w:vAlign w:val="center"/>
          </w:tcPr>
          <w:p w14:paraId="70A195F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是否将项目绩效目标细化分解为具体的绩效指标；（2分）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是否通过清晰、可衡量的指标值予以体现；（1分）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是否与项目年度任务数或计划数相对应；（1分）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是否与预算确定的项目投资额或资金量相匹配。（2分）</w:t>
            </w:r>
          </w:p>
        </w:tc>
        <w:tc>
          <w:tcPr>
            <w:tcW w:w="877" w:type="dxa"/>
            <w:noWrap w:val="0"/>
            <w:vAlign w:val="center"/>
          </w:tcPr>
          <w:p w14:paraId="7F193AD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lang w:val="en-US" w:eastAsia="zh-CN"/>
              </w:rPr>
              <w:t>6</w:t>
            </w:r>
            <w:r>
              <w:rPr>
                <w:rFonts w:ascii="宋体" w:hAnsi="宋体"/>
                <w:kern w:val="0"/>
                <w:sz w:val="24"/>
              </w:rPr>
              <w:t>　</w:t>
            </w:r>
          </w:p>
        </w:tc>
        <w:tc>
          <w:tcPr>
            <w:tcW w:w="846" w:type="dxa"/>
            <w:noWrap w:val="0"/>
            <w:vAlign w:val="center"/>
          </w:tcPr>
          <w:p w14:paraId="512CD57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4C69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16" w:type="dxa"/>
            <w:vMerge w:val="continue"/>
            <w:shd w:val="clear" w:color="auto" w:fill="auto"/>
            <w:noWrap w:val="0"/>
            <w:vAlign w:val="center"/>
          </w:tcPr>
          <w:p w14:paraId="588CBB3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restart"/>
            <w:shd w:val="clear" w:color="000000" w:fill="FFFFFF"/>
            <w:noWrap w:val="0"/>
            <w:vAlign w:val="center"/>
          </w:tcPr>
          <w:p w14:paraId="4B860F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资金</w:t>
            </w:r>
            <w:r>
              <w:rPr>
                <w:rFonts w:ascii="宋体" w:hAnsi="宋体"/>
                <w:kern w:val="0"/>
                <w:sz w:val="20"/>
                <w:szCs w:val="20"/>
              </w:rPr>
              <w:br w:type="textWrapping"/>
            </w:r>
            <w:r>
              <w:rPr>
                <w:rFonts w:ascii="宋体" w:hAnsi="宋体"/>
                <w:kern w:val="0"/>
                <w:sz w:val="20"/>
                <w:szCs w:val="20"/>
              </w:rPr>
              <w:t>落实（10分）</w:t>
            </w:r>
          </w:p>
        </w:tc>
        <w:tc>
          <w:tcPr>
            <w:tcW w:w="798" w:type="dxa"/>
            <w:shd w:val="clear" w:color="000000" w:fill="FFFFFF"/>
            <w:noWrap w:val="0"/>
            <w:vAlign w:val="center"/>
          </w:tcPr>
          <w:p w14:paraId="3989661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资金到位率（5分）</w:t>
            </w:r>
          </w:p>
        </w:tc>
        <w:tc>
          <w:tcPr>
            <w:tcW w:w="1648" w:type="dxa"/>
            <w:shd w:val="clear" w:color="000000" w:fill="FFFFFF"/>
            <w:noWrap w:val="0"/>
            <w:vAlign w:val="center"/>
          </w:tcPr>
          <w:p w14:paraId="01077A9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实际到位资金与计划投入资金的比率，用以反映和考核资金落实情况对项目实施的总体保障程度。</w:t>
            </w:r>
          </w:p>
        </w:tc>
        <w:tc>
          <w:tcPr>
            <w:tcW w:w="3489" w:type="dxa"/>
            <w:shd w:val="clear" w:color="000000" w:fill="FFFFFF"/>
            <w:noWrap w:val="0"/>
            <w:vAlign w:val="center"/>
          </w:tcPr>
          <w:p w14:paraId="587251C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资金到位率=（实际到位资金/计划投入资金）×100%。（达到目标值得5分，每少一个百分点扣1分，扣完为止）</w:t>
            </w:r>
            <w:r>
              <w:rPr>
                <w:rFonts w:ascii="宋体" w:hAnsi="宋体"/>
                <w:kern w:val="0"/>
                <w:sz w:val="20"/>
                <w:szCs w:val="20"/>
              </w:rPr>
              <w:br w:type="textWrapping"/>
            </w:r>
            <w:r>
              <w:rPr>
                <w:rFonts w:ascii="宋体" w:hAnsi="宋体"/>
                <w:kern w:val="0"/>
                <w:sz w:val="20"/>
                <w:szCs w:val="20"/>
              </w:rPr>
              <w:t>实际到位资金：一定时期（本年度或项目期）内实际落实到具体项目的资金。</w:t>
            </w:r>
            <w:r>
              <w:rPr>
                <w:rFonts w:ascii="宋体" w:hAnsi="宋体"/>
                <w:kern w:val="0"/>
                <w:sz w:val="20"/>
                <w:szCs w:val="20"/>
              </w:rPr>
              <w:br w:type="textWrapping"/>
            </w:r>
            <w:r>
              <w:rPr>
                <w:rFonts w:ascii="宋体" w:hAnsi="宋体"/>
                <w:kern w:val="0"/>
                <w:sz w:val="20"/>
                <w:szCs w:val="20"/>
              </w:rPr>
              <w:t>计划投入资金：一定时期（本年度或项目期）内计划投入到具体项目的资金。</w:t>
            </w:r>
          </w:p>
        </w:tc>
        <w:tc>
          <w:tcPr>
            <w:tcW w:w="877" w:type="dxa"/>
            <w:noWrap w:val="0"/>
            <w:vAlign w:val="center"/>
          </w:tcPr>
          <w:p w14:paraId="3306AE4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hint="eastAsia" w:ascii="宋体" w:hAnsi="宋体"/>
                <w:kern w:val="0"/>
                <w:sz w:val="24"/>
                <w:lang w:val="en-US" w:eastAsia="zh-CN"/>
              </w:rPr>
              <w:t>5</w:t>
            </w:r>
          </w:p>
        </w:tc>
        <w:tc>
          <w:tcPr>
            <w:tcW w:w="846" w:type="dxa"/>
            <w:noWrap w:val="0"/>
            <w:vAlign w:val="center"/>
          </w:tcPr>
          <w:p w14:paraId="3BD4DF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5454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816" w:type="dxa"/>
            <w:vMerge w:val="continue"/>
            <w:shd w:val="clear" w:color="auto" w:fill="auto"/>
            <w:noWrap w:val="0"/>
            <w:vAlign w:val="center"/>
          </w:tcPr>
          <w:p w14:paraId="4306878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3837C02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7899B89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到位及时率（5分）</w:t>
            </w:r>
          </w:p>
        </w:tc>
        <w:tc>
          <w:tcPr>
            <w:tcW w:w="1648" w:type="dxa"/>
            <w:shd w:val="clear" w:color="000000" w:fill="FFFFFF"/>
            <w:noWrap w:val="0"/>
            <w:vAlign w:val="center"/>
          </w:tcPr>
          <w:p w14:paraId="716328F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及时到位资金与应到位资金的比率，用以反映和考核项目资金落实的及时性程度。</w:t>
            </w:r>
          </w:p>
        </w:tc>
        <w:tc>
          <w:tcPr>
            <w:tcW w:w="3489" w:type="dxa"/>
            <w:shd w:val="clear" w:color="000000" w:fill="FFFFFF"/>
            <w:noWrap w:val="0"/>
            <w:vAlign w:val="center"/>
          </w:tcPr>
          <w:p w14:paraId="0F709AD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到位及时率=（及时到位资金/应到位资金）×100%。（达到目标值得5分，每少一个百分点扣1分，扣完为止）</w:t>
            </w:r>
            <w:r>
              <w:rPr>
                <w:rFonts w:ascii="宋体" w:hAnsi="宋体"/>
                <w:kern w:val="0"/>
                <w:sz w:val="20"/>
                <w:szCs w:val="20"/>
              </w:rPr>
              <w:br w:type="textWrapping"/>
            </w:r>
            <w:r>
              <w:rPr>
                <w:rFonts w:ascii="宋体" w:hAnsi="宋体"/>
                <w:kern w:val="0"/>
                <w:sz w:val="20"/>
                <w:szCs w:val="20"/>
              </w:rPr>
              <w:t>及时到位资金：截至规定时点实际落实到具体项目的资金。</w:t>
            </w:r>
            <w:r>
              <w:rPr>
                <w:rFonts w:ascii="宋体" w:hAnsi="宋体"/>
                <w:kern w:val="0"/>
                <w:sz w:val="20"/>
                <w:szCs w:val="20"/>
              </w:rPr>
              <w:br w:type="textWrapping"/>
            </w:r>
            <w:r>
              <w:rPr>
                <w:rFonts w:ascii="宋体" w:hAnsi="宋体"/>
                <w:kern w:val="0"/>
                <w:sz w:val="20"/>
                <w:szCs w:val="20"/>
              </w:rPr>
              <w:t>应到位资金：按照合同或项目进度要求截至规定时点应落实到具体项目的资金。</w:t>
            </w:r>
          </w:p>
        </w:tc>
        <w:tc>
          <w:tcPr>
            <w:tcW w:w="877" w:type="dxa"/>
            <w:noWrap w:val="0"/>
            <w:vAlign w:val="center"/>
          </w:tcPr>
          <w:p w14:paraId="55E329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hint="eastAsia" w:ascii="宋体" w:hAnsi="宋体"/>
                <w:kern w:val="0"/>
                <w:sz w:val="24"/>
                <w:lang w:val="en-US" w:eastAsia="zh-CN"/>
              </w:rPr>
              <w:t>5</w:t>
            </w:r>
          </w:p>
        </w:tc>
        <w:tc>
          <w:tcPr>
            <w:tcW w:w="846" w:type="dxa"/>
            <w:noWrap w:val="0"/>
            <w:vAlign w:val="center"/>
          </w:tcPr>
          <w:p w14:paraId="01C4EB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2342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816" w:type="dxa"/>
            <w:vMerge w:val="restart"/>
            <w:shd w:val="clear" w:color="000000" w:fill="FFFFFF"/>
            <w:noWrap w:val="0"/>
            <w:textDirection w:val="tbRlV"/>
            <w:vAlign w:val="center"/>
          </w:tcPr>
          <w:p w14:paraId="0F5AFE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过   程（25分）</w:t>
            </w:r>
          </w:p>
        </w:tc>
        <w:tc>
          <w:tcPr>
            <w:tcW w:w="648" w:type="dxa"/>
            <w:vMerge w:val="restart"/>
            <w:shd w:val="clear" w:color="000000" w:fill="FFFFFF"/>
            <w:noWrap w:val="0"/>
            <w:vAlign w:val="center"/>
          </w:tcPr>
          <w:p w14:paraId="3D23B4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业务</w:t>
            </w:r>
            <w:r>
              <w:rPr>
                <w:rFonts w:ascii="宋体" w:hAnsi="宋体"/>
                <w:kern w:val="0"/>
                <w:sz w:val="20"/>
                <w:szCs w:val="20"/>
              </w:rPr>
              <w:br w:type="textWrapping"/>
            </w:r>
            <w:r>
              <w:rPr>
                <w:rFonts w:ascii="宋体" w:hAnsi="宋体"/>
                <w:kern w:val="0"/>
                <w:sz w:val="20"/>
                <w:szCs w:val="20"/>
              </w:rPr>
              <w:t>管理（13分）</w:t>
            </w:r>
          </w:p>
        </w:tc>
        <w:tc>
          <w:tcPr>
            <w:tcW w:w="798" w:type="dxa"/>
            <w:shd w:val="clear" w:color="000000" w:fill="FFFFFF"/>
            <w:noWrap w:val="0"/>
            <w:vAlign w:val="center"/>
          </w:tcPr>
          <w:p w14:paraId="21AC82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管理制度健全性（4分）</w:t>
            </w:r>
          </w:p>
        </w:tc>
        <w:tc>
          <w:tcPr>
            <w:tcW w:w="1648" w:type="dxa"/>
            <w:shd w:val="clear" w:color="000000" w:fill="FFFFFF"/>
            <w:noWrap w:val="0"/>
            <w:vAlign w:val="center"/>
          </w:tcPr>
          <w:p w14:paraId="0AF6AAD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项目实施单位的业务管理制度是否健全，用以反映和考核业务管理制度对项目顺利实施的保障情况。</w:t>
            </w:r>
          </w:p>
        </w:tc>
        <w:tc>
          <w:tcPr>
            <w:tcW w:w="3489" w:type="dxa"/>
            <w:shd w:val="clear" w:color="000000" w:fill="FFFFFF"/>
            <w:noWrap w:val="0"/>
            <w:vAlign w:val="center"/>
          </w:tcPr>
          <w:p w14:paraId="19A0F8D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是否已制定或具有相应的业务管理制度；（2分）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业务管理制度是否合法、合规、完整。（2分）</w:t>
            </w:r>
          </w:p>
        </w:tc>
        <w:tc>
          <w:tcPr>
            <w:tcW w:w="877" w:type="dxa"/>
            <w:noWrap w:val="0"/>
            <w:vAlign w:val="center"/>
          </w:tcPr>
          <w:p w14:paraId="25616A2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4</w:t>
            </w:r>
          </w:p>
        </w:tc>
        <w:tc>
          <w:tcPr>
            <w:tcW w:w="846" w:type="dxa"/>
            <w:noWrap w:val="0"/>
            <w:vAlign w:val="center"/>
          </w:tcPr>
          <w:p w14:paraId="05DE26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72B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16" w:type="dxa"/>
            <w:vMerge w:val="continue"/>
            <w:shd w:val="clear" w:color="auto" w:fill="auto"/>
            <w:noWrap w:val="0"/>
            <w:vAlign w:val="center"/>
          </w:tcPr>
          <w:p w14:paraId="357E2C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2652797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205ADF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制度执行有效性（6分)</w:t>
            </w:r>
          </w:p>
        </w:tc>
        <w:tc>
          <w:tcPr>
            <w:tcW w:w="1648" w:type="dxa"/>
            <w:shd w:val="clear" w:color="000000" w:fill="FFFFFF"/>
            <w:noWrap w:val="0"/>
            <w:vAlign w:val="center"/>
          </w:tcPr>
          <w:p w14:paraId="442B584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项目实施是否符合相关业务管理规定，用以反映和考核业务管理制度的有效执行情况。</w:t>
            </w:r>
          </w:p>
        </w:tc>
        <w:tc>
          <w:tcPr>
            <w:tcW w:w="3489" w:type="dxa"/>
            <w:shd w:val="clear" w:color="000000" w:fill="FFFFFF"/>
            <w:noWrap w:val="0"/>
            <w:vAlign w:val="center"/>
          </w:tcPr>
          <w:p w14:paraId="46F90E6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是否遵守相关法律法规和业务管理规定；(1分）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项目调整及支出调整手续是否完备；（1分）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项目合同书、验收报告、技术鉴定等资料是否齐全并及时归档；（2分）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项目实施的人员条件、场地设备、信息支撑等是否落实到位。（2分）</w:t>
            </w:r>
          </w:p>
        </w:tc>
        <w:tc>
          <w:tcPr>
            <w:tcW w:w="877" w:type="dxa"/>
            <w:noWrap w:val="0"/>
            <w:vAlign w:val="center"/>
          </w:tcPr>
          <w:p w14:paraId="59B257C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lang w:val="en-US" w:eastAsia="zh-CN"/>
              </w:rPr>
              <w:t>6</w:t>
            </w:r>
            <w:r>
              <w:rPr>
                <w:rFonts w:ascii="宋体" w:hAnsi="宋体"/>
                <w:kern w:val="0"/>
                <w:sz w:val="24"/>
              </w:rPr>
              <w:t>　</w:t>
            </w:r>
          </w:p>
        </w:tc>
        <w:tc>
          <w:tcPr>
            <w:tcW w:w="846" w:type="dxa"/>
            <w:noWrap w:val="0"/>
            <w:vAlign w:val="center"/>
          </w:tcPr>
          <w:p w14:paraId="1DFD39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B0A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16" w:type="dxa"/>
            <w:vMerge w:val="continue"/>
            <w:shd w:val="clear" w:color="auto" w:fill="auto"/>
            <w:noWrap w:val="0"/>
            <w:vAlign w:val="center"/>
          </w:tcPr>
          <w:p w14:paraId="74B859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425A508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4A4761B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项目质量可控性（3分）</w:t>
            </w:r>
          </w:p>
        </w:tc>
        <w:tc>
          <w:tcPr>
            <w:tcW w:w="1648" w:type="dxa"/>
            <w:shd w:val="clear" w:color="000000" w:fill="FFFFFF"/>
            <w:noWrap w:val="0"/>
            <w:vAlign w:val="center"/>
          </w:tcPr>
          <w:p w14:paraId="231A38A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项目实施单位是否为达到项目质量要求而采取了必需的措施,用以反映和考核项目实施单位对项目质量的控制情况。</w:t>
            </w:r>
          </w:p>
        </w:tc>
        <w:tc>
          <w:tcPr>
            <w:tcW w:w="3489" w:type="dxa"/>
            <w:shd w:val="clear" w:color="000000" w:fill="FFFFFF"/>
            <w:noWrap w:val="0"/>
            <w:vAlign w:val="center"/>
          </w:tcPr>
          <w:p w14:paraId="10B1630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是否已制定或具有相应的项目质量要求或标准；（1分）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是否采取了相应的项目质量检查、验收等必需的控制措施或手段。（2分）</w:t>
            </w:r>
          </w:p>
        </w:tc>
        <w:tc>
          <w:tcPr>
            <w:tcW w:w="877" w:type="dxa"/>
            <w:noWrap w:val="0"/>
            <w:vAlign w:val="center"/>
          </w:tcPr>
          <w:p w14:paraId="601996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3</w:t>
            </w:r>
          </w:p>
        </w:tc>
        <w:tc>
          <w:tcPr>
            <w:tcW w:w="846" w:type="dxa"/>
            <w:noWrap w:val="0"/>
            <w:vAlign w:val="center"/>
          </w:tcPr>
          <w:p w14:paraId="3B8072B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D75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16" w:type="dxa"/>
            <w:vMerge w:val="continue"/>
            <w:shd w:val="clear" w:color="auto" w:fill="auto"/>
            <w:noWrap w:val="0"/>
            <w:vAlign w:val="center"/>
          </w:tcPr>
          <w:p w14:paraId="6A21A99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restart"/>
            <w:shd w:val="clear" w:color="000000" w:fill="FFFFFF"/>
            <w:noWrap w:val="0"/>
            <w:vAlign w:val="center"/>
          </w:tcPr>
          <w:p w14:paraId="6B40E7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财务</w:t>
            </w:r>
            <w:r>
              <w:rPr>
                <w:rFonts w:ascii="宋体" w:hAnsi="宋体"/>
                <w:kern w:val="0"/>
                <w:sz w:val="20"/>
                <w:szCs w:val="20"/>
              </w:rPr>
              <w:br w:type="textWrapping"/>
            </w:r>
            <w:r>
              <w:rPr>
                <w:rFonts w:ascii="宋体" w:hAnsi="宋体"/>
                <w:kern w:val="0"/>
                <w:sz w:val="20"/>
                <w:szCs w:val="20"/>
              </w:rPr>
              <w:t>管理（12分）</w:t>
            </w:r>
          </w:p>
        </w:tc>
        <w:tc>
          <w:tcPr>
            <w:tcW w:w="798" w:type="dxa"/>
            <w:shd w:val="clear" w:color="000000" w:fill="FFFFFF"/>
            <w:noWrap w:val="0"/>
            <w:vAlign w:val="center"/>
          </w:tcPr>
          <w:p w14:paraId="0328073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管理制度健全性（3分）</w:t>
            </w:r>
          </w:p>
        </w:tc>
        <w:tc>
          <w:tcPr>
            <w:tcW w:w="1648" w:type="dxa"/>
            <w:shd w:val="clear" w:color="000000" w:fill="FFFFFF"/>
            <w:noWrap w:val="0"/>
            <w:vAlign w:val="center"/>
          </w:tcPr>
          <w:p w14:paraId="5E23729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项目实施单位的财务制度是否健全，用以反映和考核财务管理制度对资金规范、安全运行的保障情况。</w:t>
            </w:r>
          </w:p>
        </w:tc>
        <w:tc>
          <w:tcPr>
            <w:tcW w:w="3489" w:type="dxa"/>
            <w:shd w:val="clear" w:color="000000" w:fill="FFFFFF"/>
            <w:noWrap w:val="0"/>
            <w:vAlign w:val="center"/>
          </w:tcPr>
          <w:p w14:paraId="21E3852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是否已制定或具有相应的项目资金管理办法；（2分）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项目资金管理办法是否符合相关财务会计制度的规定。（1分）</w:t>
            </w:r>
          </w:p>
        </w:tc>
        <w:tc>
          <w:tcPr>
            <w:tcW w:w="877" w:type="dxa"/>
            <w:noWrap w:val="0"/>
            <w:vAlign w:val="center"/>
          </w:tcPr>
          <w:p w14:paraId="79AA9A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3</w:t>
            </w:r>
          </w:p>
        </w:tc>
        <w:tc>
          <w:tcPr>
            <w:tcW w:w="846" w:type="dxa"/>
            <w:noWrap w:val="0"/>
            <w:vAlign w:val="center"/>
          </w:tcPr>
          <w:p w14:paraId="7817693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E81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6" w:type="dxa"/>
            <w:vMerge w:val="continue"/>
            <w:shd w:val="clear" w:color="auto" w:fill="auto"/>
            <w:noWrap w:val="0"/>
            <w:vAlign w:val="center"/>
          </w:tcPr>
          <w:p w14:paraId="6B8D8A6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6406721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03EA88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资金使用合规性（7分）</w:t>
            </w:r>
          </w:p>
        </w:tc>
        <w:tc>
          <w:tcPr>
            <w:tcW w:w="1648" w:type="dxa"/>
            <w:shd w:val="clear" w:color="000000" w:fill="FFFFFF"/>
            <w:noWrap w:val="0"/>
            <w:vAlign w:val="center"/>
          </w:tcPr>
          <w:p w14:paraId="7DEC13E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项目资金使用是否符合相关的财务管理制度规定，用以反映和考核项目资金的规范运行情况。</w:t>
            </w:r>
          </w:p>
        </w:tc>
        <w:tc>
          <w:tcPr>
            <w:tcW w:w="3489" w:type="dxa"/>
            <w:shd w:val="clear" w:color="000000" w:fill="FFFFFF"/>
            <w:noWrap w:val="0"/>
            <w:vAlign w:val="center"/>
          </w:tcPr>
          <w:p w14:paraId="73AB910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是否符合国家财经法规和财务管理制度以及有关专项资金管理办法的规定；（1分）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资金的拨付是否有完整的审批程序和手续；（2分）</w:t>
            </w:r>
            <w:r>
              <w:rPr>
                <w:rFonts w:ascii="宋体" w:hAnsi="宋体"/>
                <w:kern w:val="0"/>
                <w:sz w:val="20"/>
                <w:szCs w:val="20"/>
              </w:rPr>
              <w:br w:type="textWrapping"/>
            </w:r>
            <w:r>
              <w:rPr>
                <w:rFonts w:hint="eastAsia" w:ascii="宋体" w:hAnsi="宋体" w:cs="宋体"/>
                <w:kern w:val="0"/>
                <w:sz w:val="20"/>
                <w:szCs w:val="20"/>
              </w:rPr>
              <w:t>③</w:t>
            </w:r>
            <w:r>
              <w:rPr>
                <w:rFonts w:ascii="宋体" w:hAnsi="宋体"/>
                <w:kern w:val="0"/>
                <w:sz w:val="20"/>
                <w:szCs w:val="20"/>
              </w:rPr>
              <w:t>项目的重大开支是否经过评估认证；（1分）</w:t>
            </w:r>
            <w:r>
              <w:rPr>
                <w:rFonts w:ascii="宋体" w:hAnsi="宋体"/>
                <w:kern w:val="0"/>
                <w:sz w:val="20"/>
                <w:szCs w:val="20"/>
              </w:rPr>
              <w:br w:type="textWrapping"/>
            </w:r>
            <w:r>
              <w:rPr>
                <w:rFonts w:hint="eastAsia" w:ascii="宋体" w:hAnsi="宋体" w:cs="宋体"/>
                <w:kern w:val="0"/>
                <w:sz w:val="20"/>
                <w:szCs w:val="20"/>
              </w:rPr>
              <w:t>④</w:t>
            </w:r>
            <w:r>
              <w:rPr>
                <w:rFonts w:ascii="宋体" w:hAnsi="宋体"/>
                <w:kern w:val="0"/>
                <w:sz w:val="20"/>
                <w:szCs w:val="20"/>
              </w:rPr>
              <w:t>是否符合项目预算批复或合同规定的用途；（1分）</w:t>
            </w:r>
            <w:r>
              <w:rPr>
                <w:rFonts w:ascii="宋体" w:hAnsi="宋体"/>
                <w:kern w:val="0"/>
                <w:sz w:val="20"/>
                <w:szCs w:val="20"/>
              </w:rPr>
              <w:br w:type="textWrapping"/>
            </w:r>
            <w:r>
              <w:rPr>
                <w:rFonts w:hint="eastAsia" w:ascii="宋体" w:hAnsi="宋体" w:cs="宋体"/>
                <w:kern w:val="0"/>
                <w:sz w:val="20"/>
                <w:szCs w:val="20"/>
              </w:rPr>
              <w:t>⑤</w:t>
            </w:r>
            <w:r>
              <w:rPr>
                <w:rFonts w:ascii="宋体" w:hAnsi="宋体"/>
                <w:kern w:val="0"/>
                <w:sz w:val="20"/>
                <w:szCs w:val="20"/>
              </w:rPr>
              <w:t>是否存在截留、挤占、挪用、虚列支出等情况。（2分）</w:t>
            </w:r>
          </w:p>
        </w:tc>
        <w:tc>
          <w:tcPr>
            <w:tcW w:w="877" w:type="dxa"/>
            <w:noWrap w:val="0"/>
            <w:vAlign w:val="center"/>
          </w:tcPr>
          <w:p w14:paraId="386A08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hint="eastAsia" w:ascii="宋体" w:hAnsi="宋体"/>
                <w:kern w:val="0"/>
                <w:sz w:val="24"/>
                <w:lang w:val="en-US" w:eastAsia="zh-CN"/>
              </w:rPr>
              <w:t>7</w:t>
            </w:r>
            <w:r>
              <w:rPr>
                <w:rFonts w:ascii="宋体" w:hAnsi="宋体"/>
                <w:kern w:val="0"/>
                <w:sz w:val="24"/>
              </w:rPr>
              <w:t>　</w:t>
            </w:r>
          </w:p>
        </w:tc>
        <w:tc>
          <w:tcPr>
            <w:tcW w:w="846" w:type="dxa"/>
            <w:noWrap w:val="0"/>
            <w:vAlign w:val="center"/>
          </w:tcPr>
          <w:p w14:paraId="03702C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4859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16" w:type="dxa"/>
            <w:vMerge w:val="continue"/>
            <w:shd w:val="clear" w:color="auto" w:fill="auto"/>
            <w:noWrap w:val="0"/>
            <w:vAlign w:val="center"/>
          </w:tcPr>
          <w:p w14:paraId="6E4606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46DE34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BE592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财务监控有效性（2分）</w:t>
            </w:r>
          </w:p>
        </w:tc>
        <w:tc>
          <w:tcPr>
            <w:tcW w:w="1648" w:type="dxa"/>
            <w:shd w:val="clear" w:color="000000" w:fill="FFFFFF"/>
            <w:noWrap w:val="0"/>
            <w:vAlign w:val="center"/>
          </w:tcPr>
          <w:p w14:paraId="668C8E4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项目实施单位是否为保障资金的安全、规范运行而采取了必要的监控措施，用以反映和考核项目实施单位对资金运行的控制情况。</w:t>
            </w:r>
          </w:p>
        </w:tc>
        <w:tc>
          <w:tcPr>
            <w:tcW w:w="3489" w:type="dxa"/>
            <w:shd w:val="clear" w:color="000000" w:fill="FFFFFF"/>
            <w:noWrap w:val="0"/>
            <w:vAlign w:val="center"/>
          </w:tcPr>
          <w:p w14:paraId="41C29C6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hint="eastAsia" w:ascii="宋体" w:hAnsi="宋体" w:cs="宋体"/>
                <w:kern w:val="0"/>
                <w:sz w:val="20"/>
                <w:szCs w:val="20"/>
              </w:rPr>
              <w:t>①</w:t>
            </w:r>
            <w:r>
              <w:rPr>
                <w:rFonts w:ascii="宋体" w:hAnsi="宋体"/>
                <w:kern w:val="0"/>
                <w:sz w:val="20"/>
                <w:szCs w:val="20"/>
              </w:rPr>
              <w:t>是否已制定或具有相应的监控机制；（1分）</w:t>
            </w:r>
            <w:r>
              <w:rPr>
                <w:rFonts w:ascii="宋体" w:hAnsi="宋体"/>
                <w:kern w:val="0"/>
                <w:sz w:val="20"/>
                <w:szCs w:val="20"/>
              </w:rPr>
              <w:br w:type="textWrapping"/>
            </w:r>
            <w:r>
              <w:rPr>
                <w:rFonts w:hint="eastAsia" w:ascii="宋体" w:hAnsi="宋体" w:cs="宋体"/>
                <w:kern w:val="0"/>
                <w:sz w:val="20"/>
                <w:szCs w:val="20"/>
              </w:rPr>
              <w:t>②</w:t>
            </w:r>
            <w:r>
              <w:rPr>
                <w:rFonts w:ascii="宋体" w:hAnsi="宋体"/>
                <w:kern w:val="0"/>
                <w:sz w:val="20"/>
                <w:szCs w:val="20"/>
              </w:rPr>
              <w:t>是否采取了相应的财务检查等必要的监控措施或手段。（1分）</w:t>
            </w:r>
          </w:p>
        </w:tc>
        <w:tc>
          <w:tcPr>
            <w:tcW w:w="877" w:type="dxa"/>
            <w:noWrap w:val="0"/>
            <w:vAlign w:val="center"/>
          </w:tcPr>
          <w:p w14:paraId="6A88C3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2</w:t>
            </w:r>
          </w:p>
        </w:tc>
        <w:tc>
          <w:tcPr>
            <w:tcW w:w="846" w:type="dxa"/>
            <w:noWrap w:val="0"/>
            <w:vAlign w:val="center"/>
          </w:tcPr>
          <w:p w14:paraId="68AF28F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1050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6" w:type="dxa"/>
            <w:vMerge w:val="restart"/>
            <w:shd w:val="clear" w:color="000000" w:fill="FFFFFF"/>
            <w:noWrap w:val="0"/>
            <w:textDirection w:val="tbRlV"/>
            <w:vAlign w:val="center"/>
          </w:tcPr>
          <w:p w14:paraId="48E912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产   出（20分）</w:t>
            </w:r>
          </w:p>
        </w:tc>
        <w:tc>
          <w:tcPr>
            <w:tcW w:w="648" w:type="dxa"/>
            <w:vMerge w:val="restart"/>
            <w:shd w:val="clear" w:color="000000" w:fill="FFFFFF"/>
            <w:noWrap w:val="0"/>
            <w:vAlign w:val="center"/>
          </w:tcPr>
          <w:p w14:paraId="78B3BF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产出（20分）</w:t>
            </w:r>
          </w:p>
        </w:tc>
        <w:tc>
          <w:tcPr>
            <w:tcW w:w="798" w:type="dxa"/>
            <w:shd w:val="clear" w:color="000000" w:fill="FFFFFF"/>
            <w:noWrap w:val="0"/>
            <w:vAlign w:val="center"/>
          </w:tcPr>
          <w:p w14:paraId="7FB11E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实际完成率（4分）</w:t>
            </w:r>
          </w:p>
        </w:tc>
        <w:tc>
          <w:tcPr>
            <w:tcW w:w="1648" w:type="dxa"/>
            <w:shd w:val="clear" w:color="000000" w:fill="FFFFFF"/>
            <w:noWrap w:val="0"/>
            <w:vAlign w:val="center"/>
          </w:tcPr>
          <w:p w14:paraId="687DEBB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项目实施的实际产出数与计划产出数的比率，用以反映和考核项目产出数量目标的实现程度。</w:t>
            </w:r>
          </w:p>
        </w:tc>
        <w:tc>
          <w:tcPr>
            <w:tcW w:w="3489" w:type="dxa"/>
            <w:shd w:val="clear" w:color="000000" w:fill="FFFFFF"/>
            <w:noWrap w:val="0"/>
            <w:vAlign w:val="center"/>
          </w:tcPr>
          <w:p w14:paraId="00C245D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spacing w:val="-14"/>
                <w:kern w:val="0"/>
                <w:sz w:val="20"/>
                <w:szCs w:val="20"/>
              </w:rPr>
              <w:t>实际完成率=（实际产出数/计划产出数）×100%。（得分=实际完成率*4分）</w:t>
            </w:r>
            <w:r>
              <w:rPr>
                <w:rFonts w:ascii="宋体" w:hAnsi="宋体"/>
                <w:spacing w:val="-14"/>
                <w:kern w:val="0"/>
                <w:sz w:val="20"/>
                <w:szCs w:val="20"/>
              </w:rPr>
              <w:br w:type="textWrapping"/>
            </w:r>
            <w:r>
              <w:rPr>
                <w:rFonts w:ascii="宋体" w:hAnsi="宋体"/>
                <w:spacing w:val="-14"/>
                <w:kern w:val="0"/>
                <w:sz w:val="20"/>
                <w:szCs w:val="20"/>
              </w:rPr>
              <w:t>实际产出数：一定时期（本年度或项目期）内项目实际产出的产品或提供的服务数量。</w:t>
            </w:r>
            <w:r>
              <w:rPr>
                <w:rFonts w:ascii="宋体" w:hAnsi="宋体"/>
                <w:kern w:val="0"/>
                <w:sz w:val="20"/>
                <w:szCs w:val="20"/>
              </w:rPr>
              <w:br w:type="textWrapping"/>
            </w:r>
            <w:r>
              <w:rPr>
                <w:rFonts w:ascii="宋体" w:hAnsi="宋体"/>
                <w:kern w:val="0"/>
                <w:sz w:val="20"/>
                <w:szCs w:val="20"/>
              </w:rPr>
              <w:t>计划产出数：项目绩效目标确定的在一定时期（本年度或项目期）内计划产出的产品或提供的服务数量。</w:t>
            </w:r>
          </w:p>
        </w:tc>
        <w:tc>
          <w:tcPr>
            <w:tcW w:w="877" w:type="dxa"/>
            <w:noWrap w:val="0"/>
            <w:vAlign w:val="center"/>
          </w:tcPr>
          <w:p w14:paraId="296705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4</w:t>
            </w:r>
          </w:p>
        </w:tc>
        <w:tc>
          <w:tcPr>
            <w:tcW w:w="846" w:type="dxa"/>
            <w:noWrap w:val="0"/>
            <w:vAlign w:val="center"/>
          </w:tcPr>
          <w:p w14:paraId="2B3702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595E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6" w:type="dxa"/>
            <w:vMerge w:val="continue"/>
            <w:shd w:val="clear" w:color="auto" w:fill="auto"/>
            <w:noWrap w:val="0"/>
            <w:vAlign w:val="center"/>
          </w:tcPr>
          <w:p w14:paraId="49E1E0B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1A535A0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7FEA1D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完成及时率（6分）</w:t>
            </w:r>
          </w:p>
        </w:tc>
        <w:tc>
          <w:tcPr>
            <w:tcW w:w="1648" w:type="dxa"/>
            <w:shd w:val="clear" w:color="000000" w:fill="FFFFFF"/>
            <w:noWrap w:val="0"/>
            <w:vAlign w:val="center"/>
          </w:tcPr>
          <w:p w14:paraId="313E4B7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项目实际提前完成时间与计划完成时间的比率，用以反映和考核项目产出时效目标的实现程度。</w:t>
            </w:r>
          </w:p>
        </w:tc>
        <w:tc>
          <w:tcPr>
            <w:tcW w:w="3489" w:type="dxa"/>
            <w:shd w:val="clear" w:color="000000" w:fill="FFFFFF"/>
            <w:noWrap w:val="0"/>
            <w:vAlign w:val="center"/>
          </w:tcPr>
          <w:p w14:paraId="5A9894B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完成及时率=[（计划完成时间-实际完成时间）/计划完成时间]×100%。（1--4季度各得1.5分）</w:t>
            </w:r>
            <w:r>
              <w:rPr>
                <w:rFonts w:ascii="宋体" w:hAnsi="宋体"/>
                <w:kern w:val="0"/>
                <w:sz w:val="20"/>
                <w:szCs w:val="20"/>
              </w:rPr>
              <w:br w:type="textWrapping"/>
            </w:r>
            <w:r>
              <w:rPr>
                <w:rFonts w:ascii="宋体" w:hAnsi="宋体"/>
                <w:kern w:val="0"/>
                <w:sz w:val="20"/>
                <w:szCs w:val="20"/>
              </w:rPr>
              <w:t>实际完成时间：项目实施单位完成该项目实际所耗用的时间。</w:t>
            </w:r>
            <w:r>
              <w:rPr>
                <w:rFonts w:ascii="宋体" w:hAnsi="宋体"/>
                <w:kern w:val="0"/>
                <w:sz w:val="20"/>
                <w:szCs w:val="20"/>
              </w:rPr>
              <w:br w:type="textWrapping"/>
            </w:r>
            <w:r>
              <w:rPr>
                <w:rFonts w:ascii="宋体" w:hAnsi="宋体"/>
                <w:kern w:val="0"/>
                <w:sz w:val="20"/>
                <w:szCs w:val="20"/>
              </w:rPr>
              <w:t>计划完成时间：按照项目实施计划或相关规定完成该项目所需的时间。</w:t>
            </w:r>
          </w:p>
        </w:tc>
        <w:tc>
          <w:tcPr>
            <w:tcW w:w="877" w:type="dxa"/>
            <w:noWrap w:val="0"/>
            <w:vAlign w:val="center"/>
          </w:tcPr>
          <w:p w14:paraId="2A16C6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6</w:t>
            </w:r>
          </w:p>
        </w:tc>
        <w:tc>
          <w:tcPr>
            <w:tcW w:w="846" w:type="dxa"/>
            <w:noWrap w:val="0"/>
            <w:vAlign w:val="center"/>
          </w:tcPr>
          <w:p w14:paraId="6EC30AB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EFB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16" w:type="dxa"/>
            <w:vMerge w:val="continue"/>
            <w:shd w:val="clear" w:color="auto" w:fill="auto"/>
            <w:noWrap w:val="0"/>
            <w:vAlign w:val="center"/>
          </w:tcPr>
          <w:p w14:paraId="72FDFF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41F5EC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E9297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质量达标率（5分）</w:t>
            </w:r>
          </w:p>
        </w:tc>
        <w:tc>
          <w:tcPr>
            <w:tcW w:w="1648" w:type="dxa"/>
            <w:shd w:val="clear" w:color="000000" w:fill="FFFFFF"/>
            <w:noWrap w:val="0"/>
            <w:vAlign w:val="center"/>
          </w:tcPr>
          <w:p w14:paraId="3FE4F7E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项目完成的质量达标产出数与实际产出数的比率，用以反映和考核项目产出质量目标的实现程度。</w:t>
            </w:r>
          </w:p>
        </w:tc>
        <w:tc>
          <w:tcPr>
            <w:tcW w:w="3489" w:type="dxa"/>
            <w:shd w:val="clear" w:color="000000" w:fill="FFFFFF"/>
            <w:noWrap w:val="0"/>
            <w:vAlign w:val="center"/>
          </w:tcPr>
          <w:p w14:paraId="32B2FD4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质量达标率=（质量达标产出数/实际产出数）×100%。（得分=达标率*5分）</w:t>
            </w:r>
            <w:r>
              <w:rPr>
                <w:rFonts w:ascii="宋体" w:hAnsi="宋体"/>
                <w:kern w:val="0"/>
                <w:sz w:val="20"/>
                <w:szCs w:val="20"/>
              </w:rPr>
              <w:br w:type="textWrapping"/>
            </w:r>
            <w:r>
              <w:rPr>
                <w:rFonts w:ascii="宋体" w:hAnsi="宋体"/>
                <w:kern w:val="0"/>
                <w:sz w:val="20"/>
                <w:szCs w:val="20"/>
              </w:rPr>
              <w:t>质量达标产出数：一定时期（本年度或项目期）内实际达到既定质量标准的产品或服务数量。</w:t>
            </w:r>
            <w:r>
              <w:rPr>
                <w:rFonts w:ascii="宋体" w:hAnsi="宋体"/>
                <w:kern w:val="0"/>
                <w:sz w:val="20"/>
                <w:szCs w:val="20"/>
              </w:rPr>
              <w:br w:type="textWrapping"/>
            </w:r>
            <w:r>
              <w:rPr>
                <w:rFonts w:ascii="宋体" w:hAnsi="宋体"/>
                <w:spacing w:val="-10"/>
                <w:kern w:val="0"/>
                <w:sz w:val="20"/>
                <w:szCs w:val="20"/>
              </w:rPr>
              <w:t>既定质量标准是指项目实施单位设立绩效目标时依据计划标准、行业标准、历史标准或其他标准而设定的绩效指标值。</w:t>
            </w:r>
          </w:p>
        </w:tc>
        <w:tc>
          <w:tcPr>
            <w:tcW w:w="877" w:type="dxa"/>
            <w:noWrap w:val="0"/>
            <w:vAlign w:val="center"/>
          </w:tcPr>
          <w:p w14:paraId="0D7C19E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5</w:t>
            </w:r>
          </w:p>
        </w:tc>
        <w:tc>
          <w:tcPr>
            <w:tcW w:w="846" w:type="dxa"/>
            <w:noWrap w:val="0"/>
            <w:vAlign w:val="center"/>
          </w:tcPr>
          <w:p w14:paraId="3938CFE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290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6" w:type="dxa"/>
            <w:vMerge w:val="continue"/>
            <w:shd w:val="clear" w:color="auto" w:fill="auto"/>
            <w:noWrap w:val="0"/>
            <w:vAlign w:val="center"/>
          </w:tcPr>
          <w:p w14:paraId="2F555D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621B9D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16286D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成本节约率（5分）</w:t>
            </w:r>
          </w:p>
        </w:tc>
        <w:tc>
          <w:tcPr>
            <w:tcW w:w="1648" w:type="dxa"/>
            <w:shd w:val="clear" w:color="000000" w:fill="FFFFFF"/>
            <w:noWrap w:val="0"/>
            <w:vAlign w:val="center"/>
          </w:tcPr>
          <w:p w14:paraId="0359467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完成项目计划工作目标的实际节约成本与计划成本的比率，用以反映和考核项目的成本节约程度。</w:t>
            </w:r>
          </w:p>
        </w:tc>
        <w:tc>
          <w:tcPr>
            <w:tcW w:w="3489" w:type="dxa"/>
            <w:shd w:val="clear" w:color="000000" w:fill="FFFFFF"/>
            <w:noWrap w:val="0"/>
            <w:vAlign w:val="center"/>
          </w:tcPr>
          <w:p w14:paraId="78C7ECF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成本节约率=[（计划成本-实际成本）/计划成本]×100%。(节约的计5分,增加的按比例扣分)</w:t>
            </w:r>
            <w:r>
              <w:rPr>
                <w:rFonts w:ascii="宋体" w:hAnsi="宋体"/>
                <w:kern w:val="0"/>
                <w:sz w:val="20"/>
                <w:szCs w:val="20"/>
              </w:rPr>
              <w:br w:type="textWrapping"/>
            </w:r>
            <w:r>
              <w:rPr>
                <w:rFonts w:ascii="宋体" w:hAnsi="宋体"/>
                <w:spacing w:val="-10"/>
                <w:kern w:val="0"/>
                <w:sz w:val="20"/>
                <w:szCs w:val="20"/>
              </w:rPr>
              <w:t>实际成本：项目实施单位如期、保质、保量完成既定工作目标实际所耗费的支出。</w:t>
            </w:r>
            <w:r>
              <w:rPr>
                <w:rFonts w:ascii="宋体" w:hAnsi="宋体"/>
                <w:spacing w:val="-10"/>
                <w:kern w:val="0"/>
                <w:sz w:val="20"/>
                <w:szCs w:val="20"/>
              </w:rPr>
              <w:br w:type="textWrapping"/>
            </w:r>
            <w:r>
              <w:rPr>
                <w:rFonts w:ascii="宋体" w:hAnsi="宋体"/>
                <w:spacing w:val="-10"/>
                <w:kern w:val="0"/>
                <w:sz w:val="20"/>
                <w:szCs w:val="20"/>
              </w:rPr>
              <w:t>计划成本：项目实施单位为完成工作目标计划安排的支出，一般以项目预算为参考。</w:t>
            </w:r>
          </w:p>
        </w:tc>
        <w:tc>
          <w:tcPr>
            <w:tcW w:w="877" w:type="dxa"/>
            <w:noWrap w:val="0"/>
            <w:vAlign w:val="center"/>
          </w:tcPr>
          <w:p w14:paraId="6F1BFF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5</w:t>
            </w:r>
          </w:p>
        </w:tc>
        <w:tc>
          <w:tcPr>
            <w:tcW w:w="846" w:type="dxa"/>
            <w:noWrap w:val="0"/>
            <w:vAlign w:val="center"/>
          </w:tcPr>
          <w:p w14:paraId="5E7A0B0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BAF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6" w:type="dxa"/>
            <w:vMerge w:val="restart"/>
            <w:shd w:val="clear" w:color="000000" w:fill="FFFFFF"/>
            <w:noWrap w:val="0"/>
            <w:textDirection w:val="tbRlV"/>
            <w:vAlign w:val="center"/>
          </w:tcPr>
          <w:p w14:paraId="2FC880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效   果（30分）</w:t>
            </w:r>
          </w:p>
        </w:tc>
        <w:tc>
          <w:tcPr>
            <w:tcW w:w="648" w:type="dxa"/>
            <w:vMerge w:val="restart"/>
            <w:shd w:val="clear" w:color="000000" w:fill="FFFFFF"/>
            <w:noWrap w:val="0"/>
            <w:vAlign w:val="center"/>
          </w:tcPr>
          <w:p w14:paraId="1DB991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kern w:val="0"/>
                <w:sz w:val="20"/>
                <w:szCs w:val="20"/>
              </w:rPr>
            </w:pPr>
            <w:r>
              <w:rPr>
                <w:rFonts w:ascii="宋体" w:hAnsi="宋体"/>
                <w:kern w:val="0"/>
                <w:sz w:val="20"/>
                <w:szCs w:val="20"/>
              </w:rPr>
              <w:t>项目</w:t>
            </w:r>
            <w:r>
              <w:rPr>
                <w:rFonts w:ascii="宋体" w:hAnsi="宋体"/>
                <w:kern w:val="0"/>
                <w:sz w:val="20"/>
                <w:szCs w:val="20"/>
              </w:rPr>
              <w:br w:type="textWrapping"/>
            </w:r>
            <w:r>
              <w:rPr>
                <w:rFonts w:ascii="宋体" w:hAnsi="宋体"/>
                <w:kern w:val="0"/>
                <w:sz w:val="20"/>
                <w:szCs w:val="20"/>
              </w:rPr>
              <w:t>效益（30分）</w:t>
            </w:r>
          </w:p>
        </w:tc>
        <w:tc>
          <w:tcPr>
            <w:tcW w:w="798" w:type="dxa"/>
            <w:shd w:val="clear" w:color="000000" w:fill="FFFFFF"/>
            <w:noWrap w:val="0"/>
            <w:vAlign w:val="center"/>
          </w:tcPr>
          <w:p w14:paraId="18C362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经济效益(5分）</w:t>
            </w:r>
          </w:p>
        </w:tc>
        <w:tc>
          <w:tcPr>
            <w:tcW w:w="1648" w:type="dxa"/>
            <w:shd w:val="clear" w:color="000000" w:fill="FFFFFF"/>
            <w:noWrap w:val="0"/>
            <w:vAlign w:val="center"/>
          </w:tcPr>
          <w:p w14:paraId="58BEAF5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项目实施对经济发展所带来的直接或间接影响情况。</w:t>
            </w:r>
          </w:p>
        </w:tc>
        <w:tc>
          <w:tcPr>
            <w:tcW w:w="3489" w:type="dxa"/>
            <w:vMerge w:val="restart"/>
            <w:shd w:val="clear" w:color="000000" w:fill="FFFFFF"/>
            <w:noWrap w:val="0"/>
            <w:vAlign w:val="center"/>
          </w:tcPr>
          <w:p w14:paraId="43C3B6B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877" w:type="dxa"/>
            <w:noWrap w:val="0"/>
            <w:vAlign w:val="center"/>
          </w:tcPr>
          <w:p w14:paraId="1A23E1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5</w:t>
            </w:r>
          </w:p>
        </w:tc>
        <w:tc>
          <w:tcPr>
            <w:tcW w:w="846" w:type="dxa"/>
            <w:noWrap w:val="0"/>
            <w:vAlign w:val="center"/>
          </w:tcPr>
          <w:p w14:paraId="54D0A5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6642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vMerge w:val="continue"/>
            <w:shd w:val="clear" w:color="auto" w:fill="auto"/>
            <w:noWrap w:val="0"/>
            <w:vAlign w:val="center"/>
          </w:tcPr>
          <w:p w14:paraId="6E32EE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0A69B1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3B3C2A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社会效益（5分）</w:t>
            </w:r>
          </w:p>
        </w:tc>
        <w:tc>
          <w:tcPr>
            <w:tcW w:w="1648" w:type="dxa"/>
            <w:shd w:val="clear" w:color="000000" w:fill="FFFFFF"/>
            <w:noWrap w:val="0"/>
            <w:vAlign w:val="center"/>
          </w:tcPr>
          <w:p w14:paraId="1A6D17F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项目实施对社会发展所带来的直接或间接影响情况。</w:t>
            </w:r>
          </w:p>
        </w:tc>
        <w:tc>
          <w:tcPr>
            <w:tcW w:w="3489" w:type="dxa"/>
            <w:vMerge w:val="continue"/>
            <w:noWrap w:val="0"/>
            <w:vAlign w:val="center"/>
          </w:tcPr>
          <w:p w14:paraId="5BF0505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6B0308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5</w:t>
            </w:r>
          </w:p>
        </w:tc>
        <w:tc>
          <w:tcPr>
            <w:tcW w:w="846" w:type="dxa"/>
            <w:noWrap w:val="0"/>
            <w:vAlign w:val="center"/>
          </w:tcPr>
          <w:p w14:paraId="7F3CB8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59BB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vMerge w:val="continue"/>
            <w:shd w:val="clear" w:color="auto" w:fill="auto"/>
            <w:noWrap w:val="0"/>
            <w:vAlign w:val="center"/>
          </w:tcPr>
          <w:p w14:paraId="015EDB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337829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6FB5BD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生态效益（5分）</w:t>
            </w:r>
          </w:p>
        </w:tc>
        <w:tc>
          <w:tcPr>
            <w:tcW w:w="1648" w:type="dxa"/>
            <w:shd w:val="clear" w:color="000000" w:fill="FFFFFF"/>
            <w:noWrap w:val="0"/>
            <w:vAlign w:val="center"/>
          </w:tcPr>
          <w:p w14:paraId="516A09F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spacing w:val="-10"/>
                <w:kern w:val="0"/>
                <w:sz w:val="20"/>
                <w:szCs w:val="20"/>
              </w:rPr>
            </w:pPr>
            <w:r>
              <w:rPr>
                <w:rFonts w:ascii="宋体" w:hAnsi="宋体"/>
                <w:spacing w:val="-10"/>
                <w:kern w:val="0"/>
                <w:sz w:val="20"/>
                <w:szCs w:val="20"/>
              </w:rPr>
              <w:t>项目实施对生态环境所带来的直接或间接影响情况。</w:t>
            </w:r>
          </w:p>
        </w:tc>
        <w:tc>
          <w:tcPr>
            <w:tcW w:w="3489" w:type="dxa"/>
            <w:vMerge w:val="continue"/>
            <w:noWrap w:val="0"/>
            <w:vAlign w:val="center"/>
          </w:tcPr>
          <w:p w14:paraId="37C67C6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1BCF74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5</w:t>
            </w:r>
          </w:p>
        </w:tc>
        <w:tc>
          <w:tcPr>
            <w:tcW w:w="846" w:type="dxa"/>
            <w:noWrap w:val="0"/>
            <w:vAlign w:val="center"/>
          </w:tcPr>
          <w:p w14:paraId="021A1D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7A3E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vMerge w:val="continue"/>
            <w:shd w:val="clear" w:color="auto" w:fill="auto"/>
            <w:noWrap w:val="0"/>
            <w:vAlign w:val="center"/>
          </w:tcPr>
          <w:p w14:paraId="0F2B10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24EBF0A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51FB8EB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r>
              <w:rPr>
                <w:rFonts w:ascii="宋体" w:hAnsi="宋体"/>
                <w:kern w:val="0"/>
                <w:sz w:val="20"/>
                <w:szCs w:val="20"/>
              </w:rPr>
              <w:t>可持续影响</w:t>
            </w:r>
          </w:p>
        </w:tc>
        <w:tc>
          <w:tcPr>
            <w:tcW w:w="1648" w:type="dxa"/>
            <w:shd w:val="clear" w:color="000000" w:fill="FFFFFF"/>
            <w:noWrap w:val="0"/>
            <w:vAlign w:val="center"/>
          </w:tcPr>
          <w:p w14:paraId="03FF602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项目后续运行及成效发挥的可持续影响情况。</w:t>
            </w:r>
          </w:p>
        </w:tc>
        <w:tc>
          <w:tcPr>
            <w:tcW w:w="3489" w:type="dxa"/>
            <w:vMerge w:val="continue"/>
            <w:noWrap w:val="0"/>
            <w:vAlign w:val="center"/>
          </w:tcPr>
          <w:p w14:paraId="570B3CD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p>
        </w:tc>
        <w:tc>
          <w:tcPr>
            <w:tcW w:w="877" w:type="dxa"/>
            <w:noWrap w:val="0"/>
            <w:vAlign w:val="center"/>
          </w:tcPr>
          <w:p w14:paraId="4186F83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5</w:t>
            </w:r>
          </w:p>
        </w:tc>
        <w:tc>
          <w:tcPr>
            <w:tcW w:w="846" w:type="dxa"/>
            <w:noWrap w:val="0"/>
            <w:vAlign w:val="center"/>
          </w:tcPr>
          <w:p w14:paraId="5A41565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1E0B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16" w:type="dxa"/>
            <w:vMerge w:val="continue"/>
            <w:shd w:val="clear" w:color="auto" w:fill="auto"/>
            <w:noWrap w:val="0"/>
            <w:vAlign w:val="center"/>
          </w:tcPr>
          <w:p w14:paraId="2CFE41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648" w:type="dxa"/>
            <w:vMerge w:val="continue"/>
            <w:shd w:val="clear" w:color="auto" w:fill="auto"/>
            <w:noWrap w:val="0"/>
            <w:vAlign w:val="center"/>
          </w:tcPr>
          <w:p w14:paraId="5CB97BB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0"/>
                <w:szCs w:val="20"/>
              </w:rPr>
            </w:pPr>
          </w:p>
        </w:tc>
        <w:tc>
          <w:tcPr>
            <w:tcW w:w="798" w:type="dxa"/>
            <w:shd w:val="clear" w:color="000000" w:fill="FFFFFF"/>
            <w:noWrap w:val="0"/>
            <w:vAlign w:val="center"/>
          </w:tcPr>
          <w:p w14:paraId="66448DD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spacing w:val="-10"/>
                <w:kern w:val="0"/>
                <w:sz w:val="20"/>
                <w:szCs w:val="20"/>
              </w:rPr>
            </w:pPr>
            <w:r>
              <w:rPr>
                <w:rFonts w:ascii="宋体" w:hAnsi="宋体"/>
                <w:spacing w:val="-10"/>
                <w:kern w:val="0"/>
                <w:sz w:val="20"/>
                <w:szCs w:val="20"/>
              </w:rPr>
              <w:t>社会公众或服务对象满意度（10分）</w:t>
            </w:r>
          </w:p>
        </w:tc>
        <w:tc>
          <w:tcPr>
            <w:tcW w:w="1648" w:type="dxa"/>
            <w:shd w:val="clear" w:color="000000" w:fill="FFFFFF"/>
            <w:noWrap w:val="0"/>
            <w:vAlign w:val="center"/>
          </w:tcPr>
          <w:p w14:paraId="6B5435E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社会公众或服务对象对项目实施效果的满意程度。</w:t>
            </w:r>
          </w:p>
        </w:tc>
        <w:tc>
          <w:tcPr>
            <w:tcW w:w="3489" w:type="dxa"/>
            <w:shd w:val="clear" w:color="000000" w:fill="FFFFFF"/>
            <w:noWrap w:val="0"/>
            <w:vAlign w:val="center"/>
          </w:tcPr>
          <w:p w14:paraId="1DAF78E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社会公众或服务对象是指因该项目实施而受到影响的部门（单位）、群体或个人。一般采取社会调查的方式。（按收到的服务对象的满意率计算得分）</w:t>
            </w:r>
          </w:p>
        </w:tc>
        <w:tc>
          <w:tcPr>
            <w:tcW w:w="877" w:type="dxa"/>
            <w:noWrap w:val="0"/>
            <w:vAlign w:val="center"/>
          </w:tcPr>
          <w:p w14:paraId="034E43F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100</w:t>
            </w:r>
          </w:p>
        </w:tc>
        <w:tc>
          <w:tcPr>
            <w:tcW w:w="846" w:type="dxa"/>
            <w:noWrap w:val="0"/>
            <w:vAlign w:val="center"/>
          </w:tcPr>
          <w:p w14:paraId="5E97DD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r w14:paraId="3BAB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399" w:type="dxa"/>
            <w:gridSpan w:val="5"/>
            <w:shd w:val="clear" w:color="000000" w:fill="FFFFFF"/>
            <w:noWrap w:val="0"/>
            <w:vAlign w:val="center"/>
          </w:tcPr>
          <w:p w14:paraId="2686A84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kern w:val="0"/>
                <w:sz w:val="20"/>
                <w:szCs w:val="20"/>
              </w:rPr>
            </w:pPr>
            <w:r>
              <w:rPr>
                <w:rFonts w:ascii="宋体" w:hAnsi="宋体"/>
                <w:kern w:val="0"/>
                <w:sz w:val="20"/>
                <w:szCs w:val="20"/>
              </w:rPr>
              <w:t>合计</w:t>
            </w:r>
          </w:p>
        </w:tc>
        <w:tc>
          <w:tcPr>
            <w:tcW w:w="877" w:type="dxa"/>
            <w:noWrap w:val="0"/>
            <w:vAlign w:val="center"/>
          </w:tcPr>
          <w:p w14:paraId="787271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kern w:val="0"/>
                <w:sz w:val="24"/>
                <w:lang w:val="en-US" w:eastAsia="zh-CN"/>
              </w:rPr>
            </w:pPr>
            <w:r>
              <w:rPr>
                <w:rFonts w:ascii="宋体" w:hAnsi="宋体"/>
                <w:kern w:val="0"/>
                <w:sz w:val="24"/>
              </w:rPr>
              <w:t>　</w:t>
            </w:r>
            <w:r>
              <w:rPr>
                <w:rFonts w:hint="eastAsia" w:ascii="宋体" w:hAnsi="宋体"/>
                <w:kern w:val="0"/>
                <w:sz w:val="24"/>
                <w:lang w:val="en-US" w:eastAsia="zh-CN"/>
              </w:rPr>
              <w:t>100</w:t>
            </w:r>
          </w:p>
        </w:tc>
        <w:tc>
          <w:tcPr>
            <w:tcW w:w="846" w:type="dxa"/>
            <w:noWrap w:val="0"/>
            <w:vAlign w:val="center"/>
          </w:tcPr>
          <w:p w14:paraId="7E0ED4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kern w:val="0"/>
                <w:sz w:val="24"/>
              </w:rPr>
            </w:pPr>
            <w:r>
              <w:rPr>
                <w:rFonts w:ascii="宋体" w:hAnsi="宋体"/>
                <w:kern w:val="0"/>
                <w:sz w:val="24"/>
              </w:rPr>
              <w:t>　</w:t>
            </w:r>
          </w:p>
        </w:tc>
      </w:tr>
    </w:tbl>
    <w:p w14:paraId="37BF8356">
      <w:pPr>
        <w:keepNext w:val="0"/>
        <w:keepLines w:val="0"/>
        <w:pageBreakBefore w:val="0"/>
        <w:kinsoku/>
        <w:wordWrap/>
        <w:overflowPunct/>
        <w:topLinePunct w:val="0"/>
        <w:autoSpaceDE/>
        <w:autoSpaceDN/>
        <w:bidi w:val="0"/>
        <w:adjustRightInd/>
        <w:snapToGrid/>
        <w:spacing w:line="600" w:lineRule="exact"/>
        <w:jc w:val="left"/>
        <w:textAlignment w:val="auto"/>
        <w:rPr>
          <w:rFonts w:ascii="宋体" w:hAnsi="宋体" w:eastAsia="方正黑体简体"/>
          <w:sz w:val="32"/>
          <w:szCs w:val="32"/>
        </w:rPr>
      </w:pPr>
    </w:p>
    <w:p w14:paraId="489FF3BC">
      <w:pPr>
        <w:keepNext w:val="0"/>
        <w:keepLines w:val="0"/>
        <w:pageBreakBefore w:val="0"/>
        <w:kinsoku/>
        <w:wordWrap/>
        <w:overflowPunct/>
        <w:topLinePunct w:val="0"/>
        <w:autoSpaceDE/>
        <w:autoSpaceDN/>
        <w:bidi w:val="0"/>
        <w:adjustRightInd/>
        <w:snapToGrid/>
        <w:spacing w:line="600" w:lineRule="exact"/>
        <w:jc w:val="left"/>
        <w:textAlignment w:val="auto"/>
        <w:rPr>
          <w:rFonts w:ascii="宋体" w:hAnsi="宋体" w:eastAsia="方正黑体简体"/>
          <w:sz w:val="32"/>
          <w:szCs w:val="32"/>
        </w:rPr>
      </w:pPr>
    </w:p>
    <w:p w14:paraId="6C25492A">
      <w:pPr>
        <w:pStyle w:val="2"/>
        <w:rPr>
          <w:rFonts w:ascii="宋体" w:hAnsi="宋体" w:eastAsia="方正黑体简体"/>
          <w:sz w:val="32"/>
          <w:szCs w:val="32"/>
        </w:rPr>
      </w:pPr>
    </w:p>
    <w:p w14:paraId="07581088">
      <w:pPr>
        <w:rPr>
          <w:rFonts w:ascii="宋体" w:hAnsi="宋体" w:eastAsia="方正黑体简体"/>
          <w:sz w:val="32"/>
          <w:szCs w:val="32"/>
        </w:rPr>
      </w:pPr>
    </w:p>
    <w:p w14:paraId="4D1F96FD">
      <w:pPr>
        <w:pStyle w:val="2"/>
        <w:rPr>
          <w:rFonts w:ascii="宋体" w:hAnsi="宋体" w:eastAsia="方正黑体简体"/>
          <w:sz w:val="32"/>
          <w:szCs w:val="32"/>
        </w:rPr>
      </w:pPr>
    </w:p>
    <w:p w14:paraId="76CEA939">
      <w:pPr>
        <w:rPr>
          <w:rFonts w:ascii="宋体" w:hAnsi="宋体" w:eastAsia="方正黑体简体"/>
          <w:sz w:val="32"/>
          <w:szCs w:val="32"/>
        </w:rPr>
      </w:pPr>
    </w:p>
    <w:p w14:paraId="1F55B1E1">
      <w:pPr>
        <w:pStyle w:val="2"/>
        <w:rPr>
          <w:rFonts w:ascii="宋体" w:hAnsi="宋体" w:eastAsia="方正黑体简体"/>
          <w:sz w:val="32"/>
          <w:szCs w:val="32"/>
        </w:rPr>
      </w:pPr>
    </w:p>
    <w:p w14:paraId="5B5CE278">
      <w:pPr>
        <w:rPr>
          <w:rFonts w:ascii="宋体" w:hAnsi="宋体" w:eastAsia="方正黑体简体"/>
          <w:sz w:val="32"/>
          <w:szCs w:val="32"/>
        </w:rPr>
      </w:pPr>
    </w:p>
    <w:p w14:paraId="6CB6309C">
      <w:pPr>
        <w:pStyle w:val="2"/>
        <w:rPr>
          <w:rFonts w:ascii="宋体" w:hAnsi="宋体" w:eastAsia="方正黑体简体"/>
          <w:sz w:val="32"/>
          <w:szCs w:val="32"/>
        </w:rPr>
      </w:pPr>
    </w:p>
    <w:p w14:paraId="4305B9D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方正黑体简体"/>
          <w:sz w:val="32"/>
          <w:szCs w:val="32"/>
          <w:lang w:val="en-US" w:eastAsia="zh-CN"/>
        </w:rPr>
      </w:pPr>
      <w:r>
        <w:rPr>
          <w:rFonts w:ascii="宋体" w:hAnsi="宋体" w:eastAsia="方正黑体简体"/>
          <w:sz w:val="32"/>
          <w:szCs w:val="32"/>
        </w:rPr>
        <w:t>附</w:t>
      </w:r>
      <w:r>
        <w:rPr>
          <w:rFonts w:hint="eastAsia" w:ascii="宋体" w:hAnsi="宋体" w:eastAsia="方正黑体简体"/>
          <w:sz w:val="32"/>
          <w:szCs w:val="32"/>
          <w:lang w:eastAsia="zh-CN"/>
        </w:rPr>
        <w:t>表</w:t>
      </w:r>
      <w:r>
        <w:rPr>
          <w:rFonts w:hint="eastAsia" w:ascii="宋体" w:hAnsi="宋体" w:eastAsia="方正黑体简体"/>
          <w:sz w:val="32"/>
          <w:szCs w:val="32"/>
          <w:lang w:val="en-US" w:eastAsia="zh-CN"/>
        </w:rPr>
        <w:t>5-2</w:t>
      </w:r>
    </w:p>
    <w:p w14:paraId="6A2A9ABC">
      <w:pPr>
        <w:pStyle w:val="2"/>
        <w:rPr>
          <w:rFonts w:hint="eastAsia"/>
          <w:lang w:val="en-US" w:eastAsia="zh-CN"/>
        </w:rPr>
      </w:pPr>
    </w:p>
    <w:p w14:paraId="1B56401B">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eastAsia="方正小标宋简体"/>
          <w:color w:val="000000"/>
          <w:spacing w:val="-12"/>
          <w:kern w:val="0"/>
          <w:sz w:val="40"/>
          <w:szCs w:val="40"/>
        </w:rPr>
      </w:pPr>
      <w:r>
        <w:rPr>
          <w:rFonts w:ascii="宋体" w:hAnsi="宋体" w:eastAsia="方正小标宋简体"/>
          <w:color w:val="000000"/>
          <w:spacing w:val="-12"/>
          <w:kern w:val="0"/>
          <w:sz w:val="40"/>
          <w:szCs w:val="40"/>
        </w:rPr>
        <w:t>20</w:t>
      </w:r>
      <w:r>
        <w:rPr>
          <w:rFonts w:hint="eastAsia" w:ascii="宋体" w:hAnsi="宋体" w:eastAsia="方正小标宋简体"/>
          <w:color w:val="000000"/>
          <w:spacing w:val="-12"/>
          <w:kern w:val="0"/>
          <w:sz w:val="40"/>
          <w:szCs w:val="40"/>
        </w:rPr>
        <w:t>2</w:t>
      </w:r>
      <w:r>
        <w:rPr>
          <w:rFonts w:hint="eastAsia" w:ascii="宋体" w:hAnsi="宋体" w:eastAsia="方正小标宋简体"/>
          <w:color w:val="000000"/>
          <w:spacing w:val="-12"/>
          <w:kern w:val="0"/>
          <w:sz w:val="40"/>
          <w:szCs w:val="40"/>
          <w:lang w:val="en-US" w:eastAsia="zh-CN"/>
        </w:rPr>
        <w:t>3</w:t>
      </w:r>
      <w:r>
        <w:rPr>
          <w:rFonts w:ascii="宋体" w:hAnsi="宋体" w:eastAsia="方正小标宋简体"/>
          <w:color w:val="000000"/>
          <w:spacing w:val="-12"/>
          <w:kern w:val="0"/>
          <w:sz w:val="40"/>
          <w:szCs w:val="40"/>
        </w:rPr>
        <w:t>年度市本级项目支出绩效目标完成情况表</w:t>
      </w:r>
    </w:p>
    <w:p w14:paraId="57CB9DCD">
      <w:pPr>
        <w:pStyle w:val="2"/>
        <w:keepNext w:val="0"/>
        <w:keepLines w:val="0"/>
        <w:pageBreakBefore w:val="0"/>
        <w:kinsoku/>
        <w:wordWrap/>
        <w:overflowPunct/>
        <w:topLinePunct w:val="0"/>
        <w:autoSpaceDE/>
        <w:autoSpaceDN/>
        <w:bidi w:val="0"/>
        <w:adjustRightInd/>
        <w:snapToGrid/>
        <w:spacing w:line="600" w:lineRule="exact"/>
        <w:textAlignment w:val="auto"/>
        <w:rPr>
          <w:rFonts w:ascii="宋体" w:hAnsi="宋体"/>
        </w:rPr>
      </w:pPr>
    </w:p>
    <w:tbl>
      <w:tblPr>
        <w:tblStyle w:val="8"/>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1069"/>
        <w:gridCol w:w="1145"/>
        <w:gridCol w:w="1194"/>
        <w:gridCol w:w="1414"/>
        <w:gridCol w:w="144"/>
        <w:gridCol w:w="1903"/>
        <w:gridCol w:w="11"/>
      </w:tblGrid>
      <w:tr w14:paraId="6E88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noWrap w:val="0"/>
            <w:vAlign w:val="center"/>
          </w:tcPr>
          <w:p w14:paraId="0CECB9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4C3950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名称</w:t>
            </w:r>
          </w:p>
        </w:tc>
        <w:tc>
          <w:tcPr>
            <w:tcW w:w="8069" w:type="dxa"/>
            <w:gridSpan w:val="8"/>
            <w:noWrap w:val="0"/>
            <w:vAlign w:val="center"/>
          </w:tcPr>
          <w:p w14:paraId="234AA9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hint="eastAsia" w:ascii="宋体" w:hAnsi="宋体"/>
                <w:color w:val="000000"/>
                <w:kern w:val="0"/>
                <w:sz w:val="18"/>
                <w:szCs w:val="18"/>
                <w:lang w:eastAsia="zh-CN"/>
              </w:rPr>
              <w:t>市法学会工作经费</w:t>
            </w:r>
          </w:p>
        </w:tc>
      </w:tr>
      <w:tr w14:paraId="1916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restart"/>
            <w:noWrap w:val="0"/>
            <w:vAlign w:val="center"/>
          </w:tcPr>
          <w:p w14:paraId="4324FC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7B7D0D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类型</w:t>
            </w:r>
          </w:p>
        </w:tc>
        <w:tc>
          <w:tcPr>
            <w:tcW w:w="1200" w:type="dxa"/>
            <w:gridSpan w:val="2"/>
            <w:noWrap w:val="0"/>
            <w:vAlign w:val="center"/>
          </w:tcPr>
          <w:p w14:paraId="40E1D4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产业发展</w:t>
            </w:r>
          </w:p>
        </w:tc>
        <w:tc>
          <w:tcPr>
            <w:tcW w:w="1069" w:type="dxa"/>
            <w:noWrap w:val="0"/>
            <w:vAlign w:val="center"/>
          </w:tcPr>
          <w:p w14:paraId="7C3576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民生</w:t>
            </w:r>
          </w:p>
          <w:p w14:paraId="516039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保障</w:t>
            </w:r>
          </w:p>
        </w:tc>
        <w:tc>
          <w:tcPr>
            <w:tcW w:w="2339" w:type="dxa"/>
            <w:gridSpan w:val="2"/>
            <w:noWrap w:val="0"/>
            <w:vAlign w:val="center"/>
          </w:tcPr>
          <w:p w14:paraId="1FDE5E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基础设施</w:t>
            </w:r>
          </w:p>
        </w:tc>
        <w:tc>
          <w:tcPr>
            <w:tcW w:w="3461" w:type="dxa"/>
            <w:gridSpan w:val="3"/>
            <w:noWrap w:val="0"/>
            <w:vAlign w:val="center"/>
          </w:tcPr>
          <w:p w14:paraId="3C402D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行政运行</w:t>
            </w:r>
          </w:p>
        </w:tc>
      </w:tr>
      <w:tr w14:paraId="7D58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08" w:hRule="atLeast"/>
        </w:trPr>
        <w:tc>
          <w:tcPr>
            <w:tcW w:w="890" w:type="dxa"/>
            <w:vMerge w:val="continue"/>
            <w:noWrap w:val="0"/>
            <w:vAlign w:val="center"/>
          </w:tcPr>
          <w:p w14:paraId="05A115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p>
        </w:tc>
        <w:tc>
          <w:tcPr>
            <w:tcW w:w="1200" w:type="dxa"/>
            <w:gridSpan w:val="2"/>
            <w:noWrap w:val="0"/>
            <w:vAlign w:val="center"/>
          </w:tcPr>
          <w:p w14:paraId="233B03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w:t>
            </w:r>
          </w:p>
        </w:tc>
        <w:tc>
          <w:tcPr>
            <w:tcW w:w="1069" w:type="dxa"/>
            <w:noWrap w:val="0"/>
            <w:vAlign w:val="center"/>
          </w:tcPr>
          <w:p w14:paraId="674ECFA6">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rPr>
            </w:pPr>
            <w:r>
              <w:rPr>
                <w:rFonts w:ascii="宋体" w:hAnsi="宋体"/>
                <w:color w:val="000000"/>
                <w:kern w:val="0"/>
                <w:sz w:val="18"/>
                <w:szCs w:val="18"/>
              </w:rPr>
              <w:t>□</w:t>
            </w:r>
          </w:p>
        </w:tc>
        <w:tc>
          <w:tcPr>
            <w:tcW w:w="2339" w:type="dxa"/>
            <w:gridSpan w:val="2"/>
            <w:noWrap w:val="0"/>
            <w:vAlign w:val="center"/>
          </w:tcPr>
          <w:p w14:paraId="7AC86A43">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rPr>
            </w:pPr>
            <w:r>
              <w:rPr>
                <w:rFonts w:ascii="宋体" w:hAnsi="宋体"/>
                <w:color w:val="000000"/>
                <w:kern w:val="0"/>
                <w:sz w:val="18"/>
                <w:szCs w:val="18"/>
              </w:rPr>
              <w:t>□</w:t>
            </w:r>
          </w:p>
        </w:tc>
        <w:tc>
          <w:tcPr>
            <w:tcW w:w="3461" w:type="dxa"/>
            <w:gridSpan w:val="3"/>
            <w:noWrap w:val="0"/>
            <w:vAlign w:val="center"/>
          </w:tcPr>
          <w:p w14:paraId="40DBFB3D">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rPr>
            </w:pPr>
            <w:r>
              <w:rPr>
                <w:rFonts w:ascii="宋体" w:hAnsi="宋体"/>
                <w:color w:val="000000"/>
                <w:kern w:val="0"/>
                <w:sz w:val="18"/>
                <w:szCs w:val="18"/>
              </w:rPr>
              <w:t>□</w:t>
            </w:r>
          </w:p>
        </w:tc>
      </w:tr>
      <w:tr w14:paraId="77EB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noWrap w:val="0"/>
            <w:vAlign w:val="center"/>
          </w:tcPr>
          <w:p w14:paraId="709045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部门（单位）名称</w:t>
            </w:r>
          </w:p>
        </w:tc>
        <w:tc>
          <w:tcPr>
            <w:tcW w:w="4608" w:type="dxa"/>
            <w:gridSpan w:val="5"/>
            <w:noWrap w:val="0"/>
            <w:vAlign w:val="center"/>
          </w:tcPr>
          <w:p w14:paraId="406AC8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hint="eastAsia" w:ascii="宋体" w:hAnsi="宋体"/>
                <w:color w:val="000000"/>
                <w:kern w:val="0"/>
                <w:sz w:val="18"/>
                <w:szCs w:val="18"/>
                <w:lang w:eastAsia="zh-CN"/>
              </w:rPr>
              <w:t>中共资阳市委政法委员</w:t>
            </w:r>
            <w:r>
              <w:rPr>
                <w:rFonts w:ascii="宋体" w:hAnsi="宋体"/>
                <w:color w:val="000000"/>
                <w:kern w:val="0"/>
                <w:sz w:val="18"/>
                <w:szCs w:val="18"/>
              </w:rPr>
              <w:t>　</w:t>
            </w:r>
          </w:p>
        </w:tc>
        <w:tc>
          <w:tcPr>
            <w:tcW w:w="1558" w:type="dxa"/>
            <w:gridSpan w:val="2"/>
            <w:noWrap w:val="0"/>
            <w:vAlign w:val="center"/>
          </w:tcPr>
          <w:p w14:paraId="32A125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预算单位编码</w:t>
            </w:r>
          </w:p>
        </w:tc>
        <w:tc>
          <w:tcPr>
            <w:tcW w:w="1903" w:type="dxa"/>
            <w:noWrap w:val="0"/>
            <w:vAlign w:val="center"/>
          </w:tcPr>
          <w:p w14:paraId="09F7BB9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106001</w:t>
            </w:r>
          </w:p>
        </w:tc>
      </w:tr>
      <w:tr w14:paraId="415B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trPr>
        <w:tc>
          <w:tcPr>
            <w:tcW w:w="890" w:type="dxa"/>
            <w:vMerge w:val="restart"/>
            <w:noWrap w:val="0"/>
            <w:vAlign w:val="center"/>
          </w:tcPr>
          <w:p w14:paraId="2A759F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预算执行情况</w:t>
            </w:r>
          </w:p>
        </w:tc>
        <w:tc>
          <w:tcPr>
            <w:tcW w:w="1200" w:type="dxa"/>
            <w:gridSpan w:val="2"/>
            <w:noWrap w:val="0"/>
            <w:vAlign w:val="center"/>
          </w:tcPr>
          <w:p w14:paraId="71E67B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tc>
        <w:tc>
          <w:tcPr>
            <w:tcW w:w="1069" w:type="dxa"/>
            <w:noWrap w:val="0"/>
            <w:vAlign w:val="center"/>
          </w:tcPr>
          <w:p w14:paraId="638BE8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预算额(百元)</w:t>
            </w:r>
          </w:p>
        </w:tc>
        <w:tc>
          <w:tcPr>
            <w:tcW w:w="1145" w:type="dxa"/>
            <w:noWrap w:val="0"/>
            <w:vAlign w:val="center"/>
          </w:tcPr>
          <w:p w14:paraId="09BA78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执行额(百元)</w:t>
            </w:r>
          </w:p>
        </w:tc>
        <w:tc>
          <w:tcPr>
            <w:tcW w:w="1194" w:type="dxa"/>
            <w:noWrap w:val="0"/>
            <w:vAlign w:val="center"/>
          </w:tcPr>
          <w:p w14:paraId="02824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当年结转结余额(百元)</w:t>
            </w:r>
          </w:p>
        </w:tc>
        <w:tc>
          <w:tcPr>
            <w:tcW w:w="1558" w:type="dxa"/>
            <w:gridSpan w:val="2"/>
            <w:noWrap w:val="0"/>
            <w:vAlign w:val="center"/>
          </w:tcPr>
          <w:p w14:paraId="31C715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结转结余率%</w:t>
            </w:r>
          </w:p>
        </w:tc>
        <w:tc>
          <w:tcPr>
            <w:tcW w:w="1903" w:type="dxa"/>
            <w:noWrap w:val="0"/>
            <w:vAlign w:val="center"/>
          </w:tcPr>
          <w:p w14:paraId="0D877B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结转结余变动率%</w:t>
            </w:r>
          </w:p>
        </w:tc>
      </w:tr>
      <w:tr w14:paraId="3D8D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continue"/>
            <w:noWrap w:val="0"/>
            <w:vAlign w:val="center"/>
          </w:tcPr>
          <w:p w14:paraId="5EEFDB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42D8EB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合   计</w:t>
            </w:r>
          </w:p>
        </w:tc>
        <w:tc>
          <w:tcPr>
            <w:tcW w:w="1069" w:type="dxa"/>
            <w:noWrap w:val="0"/>
            <w:vAlign w:val="center"/>
          </w:tcPr>
          <w:p w14:paraId="02E2CE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488.00</w:t>
            </w:r>
          </w:p>
        </w:tc>
        <w:tc>
          <w:tcPr>
            <w:tcW w:w="1145" w:type="dxa"/>
            <w:noWrap w:val="0"/>
            <w:vAlign w:val="center"/>
          </w:tcPr>
          <w:p w14:paraId="580BEC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488.00</w:t>
            </w:r>
          </w:p>
        </w:tc>
        <w:tc>
          <w:tcPr>
            <w:tcW w:w="1194" w:type="dxa"/>
            <w:noWrap w:val="0"/>
            <w:vAlign w:val="center"/>
          </w:tcPr>
          <w:p w14:paraId="1E669B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7215F1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022EF04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1BC7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continue"/>
            <w:noWrap w:val="0"/>
            <w:vAlign w:val="center"/>
          </w:tcPr>
          <w:p w14:paraId="7ADB4A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54562C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财政拨款</w:t>
            </w:r>
          </w:p>
        </w:tc>
        <w:tc>
          <w:tcPr>
            <w:tcW w:w="1069" w:type="dxa"/>
            <w:noWrap w:val="0"/>
            <w:vAlign w:val="center"/>
          </w:tcPr>
          <w:p w14:paraId="4A6DD3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488.00</w:t>
            </w:r>
          </w:p>
        </w:tc>
        <w:tc>
          <w:tcPr>
            <w:tcW w:w="1145" w:type="dxa"/>
            <w:noWrap w:val="0"/>
            <w:vAlign w:val="center"/>
          </w:tcPr>
          <w:p w14:paraId="663377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488.00</w:t>
            </w:r>
          </w:p>
        </w:tc>
        <w:tc>
          <w:tcPr>
            <w:tcW w:w="1194" w:type="dxa"/>
            <w:noWrap w:val="0"/>
            <w:vAlign w:val="center"/>
          </w:tcPr>
          <w:p w14:paraId="4C37A0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5CB8725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02183D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3C70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5F59FB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1E8EBC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其他资金</w:t>
            </w:r>
          </w:p>
        </w:tc>
        <w:tc>
          <w:tcPr>
            <w:tcW w:w="1069" w:type="dxa"/>
            <w:noWrap w:val="0"/>
            <w:vAlign w:val="center"/>
          </w:tcPr>
          <w:p w14:paraId="78A755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0</w:t>
            </w:r>
          </w:p>
        </w:tc>
        <w:tc>
          <w:tcPr>
            <w:tcW w:w="1145" w:type="dxa"/>
            <w:noWrap w:val="0"/>
            <w:vAlign w:val="center"/>
          </w:tcPr>
          <w:p w14:paraId="106F110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lang w:val="en-US" w:eastAsia="zh-CN"/>
              </w:rPr>
              <w:t>0</w:t>
            </w:r>
            <w:r>
              <w:rPr>
                <w:rFonts w:ascii="宋体" w:hAnsi="宋体"/>
                <w:color w:val="000000"/>
                <w:kern w:val="0"/>
                <w:sz w:val="18"/>
                <w:szCs w:val="18"/>
              </w:rPr>
              <w:t>　</w:t>
            </w:r>
          </w:p>
        </w:tc>
        <w:tc>
          <w:tcPr>
            <w:tcW w:w="1194" w:type="dxa"/>
            <w:noWrap w:val="0"/>
            <w:vAlign w:val="center"/>
          </w:tcPr>
          <w:p w14:paraId="4E7CAF7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66095CF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4A1C08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5E7E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3" w:hRule="atLeast"/>
        </w:trPr>
        <w:tc>
          <w:tcPr>
            <w:tcW w:w="890" w:type="dxa"/>
            <w:vMerge w:val="restart"/>
            <w:noWrap w:val="0"/>
            <w:vAlign w:val="center"/>
          </w:tcPr>
          <w:p w14:paraId="3F102E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财政拨款结构</w:t>
            </w:r>
          </w:p>
        </w:tc>
        <w:tc>
          <w:tcPr>
            <w:tcW w:w="1200" w:type="dxa"/>
            <w:gridSpan w:val="2"/>
            <w:noWrap w:val="0"/>
            <w:vAlign w:val="center"/>
          </w:tcPr>
          <w:p w14:paraId="2F348C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tc>
        <w:tc>
          <w:tcPr>
            <w:tcW w:w="1069" w:type="dxa"/>
            <w:noWrap w:val="0"/>
            <w:vAlign w:val="center"/>
          </w:tcPr>
          <w:p w14:paraId="66E8E7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合计</w:t>
            </w:r>
          </w:p>
        </w:tc>
        <w:tc>
          <w:tcPr>
            <w:tcW w:w="1145" w:type="dxa"/>
            <w:noWrap w:val="0"/>
            <w:vAlign w:val="center"/>
          </w:tcPr>
          <w:p w14:paraId="63CC51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一般公共预算安排</w:t>
            </w:r>
          </w:p>
        </w:tc>
        <w:tc>
          <w:tcPr>
            <w:tcW w:w="1194" w:type="dxa"/>
            <w:noWrap w:val="0"/>
            <w:vAlign w:val="center"/>
          </w:tcPr>
          <w:p w14:paraId="1E1403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政府性基金预算安排</w:t>
            </w:r>
          </w:p>
        </w:tc>
        <w:tc>
          <w:tcPr>
            <w:tcW w:w="1558" w:type="dxa"/>
            <w:gridSpan w:val="2"/>
            <w:noWrap w:val="0"/>
            <w:vAlign w:val="center"/>
          </w:tcPr>
          <w:p w14:paraId="6929B6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国有资本经营预算安排</w:t>
            </w:r>
          </w:p>
        </w:tc>
        <w:tc>
          <w:tcPr>
            <w:tcW w:w="1903" w:type="dxa"/>
            <w:noWrap w:val="0"/>
            <w:vAlign w:val="center"/>
          </w:tcPr>
          <w:p w14:paraId="628BD3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社保基金预算安排</w:t>
            </w:r>
          </w:p>
        </w:tc>
      </w:tr>
      <w:tr w14:paraId="07CD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4436C1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536EBF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预算额</w:t>
            </w:r>
          </w:p>
          <w:p w14:paraId="394B0A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(百元)</w:t>
            </w:r>
          </w:p>
        </w:tc>
        <w:tc>
          <w:tcPr>
            <w:tcW w:w="1069" w:type="dxa"/>
            <w:noWrap w:val="0"/>
            <w:vAlign w:val="center"/>
          </w:tcPr>
          <w:p w14:paraId="6FBC8D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488.00</w:t>
            </w:r>
          </w:p>
        </w:tc>
        <w:tc>
          <w:tcPr>
            <w:tcW w:w="1145" w:type="dxa"/>
            <w:noWrap w:val="0"/>
            <w:vAlign w:val="center"/>
          </w:tcPr>
          <w:p w14:paraId="7668AC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488.00</w:t>
            </w:r>
          </w:p>
        </w:tc>
        <w:tc>
          <w:tcPr>
            <w:tcW w:w="1194" w:type="dxa"/>
            <w:noWrap w:val="0"/>
            <w:vAlign w:val="center"/>
          </w:tcPr>
          <w:p w14:paraId="3B79FA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0B82B4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3314D60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7CE1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75562F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3041A2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执行额</w:t>
            </w:r>
          </w:p>
          <w:p w14:paraId="7F979A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(百元)</w:t>
            </w:r>
          </w:p>
        </w:tc>
        <w:tc>
          <w:tcPr>
            <w:tcW w:w="1069" w:type="dxa"/>
            <w:noWrap w:val="0"/>
            <w:vAlign w:val="center"/>
          </w:tcPr>
          <w:p w14:paraId="5385E0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488.00</w:t>
            </w:r>
          </w:p>
        </w:tc>
        <w:tc>
          <w:tcPr>
            <w:tcW w:w="1145" w:type="dxa"/>
            <w:noWrap w:val="0"/>
            <w:vAlign w:val="center"/>
          </w:tcPr>
          <w:p w14:paraId="78F0AB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488.00</w:t>
            </w:r>
          </w:p>
        </w:tc>
        <w:tc>
          <w:tcPr>
            <w:tcW w:w="1194" w:type="dxa"/>
            <w:noWrap w:val="0"/>
            <w:vAlign w:val="center"/>
          </w:tcPr>
          <w:p w14:paraId="4925EE8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6D66515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639460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1C6C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29DDA76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78311D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当年结转结余额(百元)</w:t>
            </w:r>
          </w:p>
        </w:tc>
        <w:tc>
          <w:tcPr>
            <w:tcW w:w="1069" w:type="dxa"/>
            <w:noWrap w:val="0"/>
            <w:vAlign w:val="center"/>
          </w:tcPr>
          <w:p w14:paraId="55853A9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0</w:t>
            </w:r>
          </w:p>
        </w:tc>
        <w:tc>
          <w:tcPr>
            <w:tcW w:w="1145" w:type="dxa"/>
            <w:noWrap w:val="0"/>
            <w:vAlign w:val="center"/>
          </w:tcPr>
          <w:p w14:paraId="7CAA5E2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0</w:t>
            </w:r>
          </w:p>
        </w:tc>
        <w:tc>
          <w:tcPr>
            <w:tcW w:w="1194" w:type="dxa"/>
            <w:noWrap w:val="0"/>
            <w:vAlign w:val="center"/>
          </w:tcPr>
          <w:p w14:paraId="1E47C0D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25C3A5D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741D0E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2A82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729FA4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6D7282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结转结余率%</w:t>
            </w:r>
          </w:p>
        </w:tc>
        <w:tc>
          <w:tcPr>
            <w:tcW w:w="1069" w:type="dxa"/>
            <w:noWrap w:val="0"/>
            <w:vAlign w:val="center"/>
          </w:tcPr>
          <w:p w14:paraId="26DC963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0</w:t>
            </w:r>
          </w:p>
        </w:tc>
        <w:tc>
          <w:tcPr>
            <w:tcW w:w="1145" w:type="dxa"/>
            <w:noWrap w:val="0"/>
            <w:vAlign w:val="center"/>
          </w:tcPr>
          <w:p w14:paraId="30CB6E3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0</w:t>
            </w:r>
          </w:p>
        </w:tc>
        <w:tc>
          <w:tcPr>
            <w:tcW w:w="1194" w:type="dxa"/>
            <w:noWrap w:val="0"/>
            <w:vAlign w:val="center"/>
          </w:tcPr>
          <w:p w14:paraId="7C177B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162C45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349489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23B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0" w:hRule="atLeast"/>
        </w:trPr>
        <w:tc>
          <w:tcPr>
            <w:tcW w:w="890" w:type="dxa"/>
            <w:vMerge w:val="continue"/>
            <w:noWrap w:val="0"/>
            <w:vAlign w:val="center"/>
          </w:tcPr>
          <w:p w14:paraId="53ACE8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200" w:type="dxa"/>
            <w:gridSpan w:val="2"/>
            <w:noWrap w:val="0"/>
            <w:vAlign w:val="center"/>
          </w:tcPr>
          <w:p w14:paraId="0C04F8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结转结余变动率%</w:t>
            </w:r>
          </w:p>
        </w:tc>
        <w:tc>
          <w:tcPr>
            <w:tcW w:w="1069" w:type="dxa"/>
            <w:noWrap w:val="0"/>
            <w:vAlign w:val="center"/>
          </w:tcPr>
          <w:p w14:paraId="1B5F986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0</w:t>
            </w:r>
          </w:p>
        </w:tc>
        <w:tc>
          <w:tcPr>
            <w:tcW w:w="1145" w:type="dxa"/>
            <w:noWrap w:val="0"/>
            <w:vAlign w:val="center"/>
          </w:tcPr>
          <w:p w14:paraId="564F22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0</w:t>
            </w:r>
          </w:p>
        </w:tc>
        <w:tc>
          <w:tcPr>
            <w:tcW w:w="1194" w:type="dxa"/>
            <w:noWrap w:val="0"/>
            <w:vAlign w:val="center"/>
          </w:tcPr>
          <w:p w14:paraId="2E2FB8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558" w:type="dxa"/>
            <w:gridSpan w:val="2"/>
            <w:noWrap w:val="0"/>
            <w:vAlign w:val="center"/>
          </w:tcPr>
          <w:p w14:paraId="105FAF6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c>
          <w:tcPr>
            <w:tcW w:w="1903" w:type="dxa"/>
            <w:noWrap w:val="0"/>
            <w:vAlign w:val="center"/>
          </w:tcPr>
          <w:p w14:paraId="4ECD70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ascii="宋体" w:hAnsi="宋体"/>
                <w:color w:val="000000"/>
                <w:kern w:val="0"/>
                <w:sz w:val="18"/>
                <w:szCs w:val="18"/>
              </w:rPr>
              <w:t>　</w:t>
            </w:r>
          </w:p>
        </w:tc>
      </w:tr>
      <w:tr w14:paraId="5CDF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4" w:hRule="atLeast"/>
        </w:trPr>
        <w:tc>
          <w:tcPr>
            <w:tcW w:w="890" w:type="dxa"/>
            <w:vMerge w:val="restart"/>
            <w:noWrap w:val="0"/>
            <w:vAlign w:val="center"/>
          </w:tcPr>
          <w:p w14:paraId="7EA1DD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年度总体目标</w:t>
            </w:r>
          </w:p>
        </w:tc>
        <w:tc>
          <w:tcPr>
            <w:tcW w:w="2269" w:type="dxa"/>
            <w:gridSpan w:val="3"/>
            <w:noWrap w:val="0"/>
            <w:vAlign w:val="center"/>
          </w:tcPr>
          <w:p w14:paraId="6D26E9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w:t>
            </w:r>
          </w:p>
        </w:tc>
        <w:tc>
          <w:tcPr>
            <w:tcW w:w="2339" w:type="dxa"/>
            <w:gridSpan w:val="2"/>
            <w:noWrap w:val="0"/>
            <w:vAlign w:val="center"/>
          </w:tcPr>
          <w:p w14:paraId="51EC07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预算总体目标执行结果</w:t>
            </w:r>
          </w:p>
        </w:tc>
        <w:tc>
          <w:tcPr>
            <w:tcW w:w="3461" w:type="dxa"/>
            <w:gridSpan w:val="3"/>
            <w:noWrap w:val="0"/>
            <w:vAlign w:val="center"/>
          </w:tcPr>
          <w:p w14:paraId="24CF70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预算总体目标与预算总体目标执行结果偏差情况及原因分析</w:t>
            </w:r>
          </w:p>
        </w:tc>
      </w:tr>
      <w:tr w14:paraId="0A54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70" w:hRule="atLeast"/>
        </w:trPr>
        <w:tc>
          <w:tcPr>
            <w:tcW w:w="890" w:type="dxa"/>
            <w:vMerge w:val="continue"/>
            <w:noWrap w:val="0"/>
            <w:vAlign w:val="center"/>
          </w:tcPr>
          <w:p w14:paraId="301666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2269" w:type="dxa"/>
            <w:gridSpan w:val="3"/>
            <w:noWrap w:val="0"/>
            <w:vAlign w:val="center"/>
          </w:tcPr>
          <w:p w14:paraId="1F7F7A7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olor w:val="000000"/>
                <w:kern w:val="0"/>
                <w:sz w:val="18"/>
                <w:szCs w:val="18"/>
              </w:rPr>
            </w:pPr>
            <w:r>
              <w:rPr>
                <w:rFonts w:hint="eastAsia" w:ascii="宋体" w:hAnsi="宋体" w:eastAsia="方正仿宋简体" w:cs="Times New Roman"/>
                <w:color w:val="000000"/>
                <w:kern w:val="2"/>
                <w:sz w:val="24"/>
                <w:szCs w:val="24"/>
                <w:lang w:val="en-US" w:eastAsia="zh-CN" w:bidi="ar-SA"/>
              </w:rPr>
              <w:t>坚持党对法学会工作的全面领导，聚焦“突破”主线，全力服务市委市政府工作大局，切实做好加强政治引领、繁荣法学研究、服务法治实践、培养法治人才、加强自身建设等工作，推动全市法学会工作高质量发展，为新时代资阳现代化建设开好局起好步贡献法学会力量。</w:t>
            </w:r>
          </w:p>
        </w:tc>
        <w:tc>
          <w:tcPr>
            <w:tcW w:w="2339" w:type="dxa"/>
            <w:gridSpan w:val="2"/>
            <w:noWrap w:val="0"/>
            <w:vAlign w:val="center"/>
          </w:tcPr>
          <w:p w14:paraId="5A4BDA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hint="eastAsia" w:ascii="宋体" w:hAnsi="宋体"/>
                <w:color w:val="000000"/>
                <w:kern w:val="0"/>
                <w:sz w:val="18"/>
                <w:szCs w:val="18"/>
                <w:lang w:eastAsia="zh-CN"/>
              </w:rPr>
              <w:t>已完成</w:t>
            </w:r>
            <w:r>
              <w:rPr>
                <w:rFonts w:ascii="宋体" w:hAnsi="宋体"/>
                <w:color w:val="000000"/>
                <w:kern w:val="0"/>
                <w:sz w:val="18"/>
                <w:szCs w:val="18"/>
              </w:rPr>
              <w:t>　</w:t>
            </w:r>
          </w:p>
        </w:tc>
        <w:tc>
          <w:tcPr>
            <w:tcW w:w="3461" w:type="dxa"/>
            <w:gridSpan w:val="3"/>
            <w:noWrap w:val="0"/>
            <w:vAlign w:val="center"/>
          </w:tcPr>
          <w:p w14:paraId="390430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hint="eastAsia" w:ascii="宋体" w:hAnsi="宋体"/>
                <w:color w:val="000000"/>
                <w:kern w:val="0"/>
                <w:sz w:val="18"/>
                <w:szCs w:val="18"/>
                <w:lang w:eastAsia="zh-CN"/>
              </w:rPr>
              <w:t>无偏差</w:t>
            </w:r>
            <w:r>
              <w:rPr>
                <w:rFonts w:ascii="宋体" w:hAnsi="宋体"/>
                <w:color w:val="000000"/>
                <w:kern w:val="0"/>
                <w:sz w:val="18"/>
                <w:szCs w:val="18"/>
              </w:rPr>
              <w:t>　</w:t>
            </w:r>
          </w:p>
        </w:tc>
      </w:tr>
      <w:tr w14:paraId="567F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90" w:type="dxa"/>
            <w:vMerge w:val="restart"/>
            <w:noWrap w:val="0"/>
            <w:vAlign w:val="center"/>
          </w:tcPr>
          <w:p w14:paraId="7984E6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年度绩</w:t>
            </w:r>
          </w:p>
          <w:p w14:paraId="2C12C2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效指标</w:t>
            </w:r>
          </w:p>
        </w:tc>
        <w:tc>
          <w:tcPr>
            <w:tcW w:w="847" w:type="dxa"/>
            <w:noWrap w:val="0"/>
            <w:vAlign w:val="center"/>
          </w:tcPr>
          <w:p w14:paraId="49F39F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一级</w:t>
            </w:r>
          </w:p>
          <w:p w14:paraId="5D415F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422" w:type="dxa"/>
            <w:gridSpan w:val="2"/>
            <w:noWrap w:val="0"/>
            <w:vAlign w:val="center"/>
          </w:tcPr>
          <w:p w14:paraId="75C072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二级指标</w:t>
            </w:r>
          </w:p>
        </w:tc>
        <w:tc>
          <w:tcPr>
            <w:tcW w:w="1145" w:type="dxa"/>
            <w:noWrap w:val="0"/>
            <w:vAlign w:val="center"/>
          </w:tcPr>
          <w:p w14:paraId="2CD036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三级</w:t>
            </w:r>
          </w:p>
          <w:p w14:paraId="6807EE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94" w:type="dxa"/>
            <w:noWrap w:val="0"/>
            <w:vAlign w:val="center"/>
          </w:tcPr>
          <w:p w14:paraId="05A2D8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预算指标值(包含数字及文字描述)</w:t>
            </w:r>
          </w:p>
        </w:tc>
        <w:tc>
          <w:tcPr>
            <w:tcW w:w="1414" w:type="dxa"/>
            <w:noWrap w:val="0"/>
            <w:vAlign w:val="center"/>
          </w:tcPr>
          <w:p w14:paraId="6A6706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预算指标值执行结果(包含数字及文字描述)</w:t>
            </w:r>
          </w:p>
        </w:tc>
        <w:tc>
          <w:tcPr>
            <w:tcW w:w="2058" w:type="dxa"/>
            <w:gridSpan w:val="3"/>
            <w:noWrap w:val="0"/>
            <w:vAlign w:val="center"/>
          </w:tcPr>
          <w:p w14:paraId="22FFF0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预算指标值与预算指标值执行结果偏差情况及原因分析</w:t>
            </w:r>
          </w:p>
        </w:tc>
      </w:tr>
      <w:tr w14:paraId="43CF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7EB8455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restart"/>
            <w:noWrap w:val="0"/>
            <w:vAlign w:val="center"/>
          </w:tcPr>
          <w:p w14:paraId="634858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项目</w:t>
            </w:r>
          </w:p>
          <w:p w14:paraId="6D4E26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完成</w:t>
            </w:r>
          </w:p>
        </w:tc>
        <w:tc>
          <w:tcPr>
            <w:tcW w:w="1422" w:type="dxa"/>
            <w:gridSpan w:val="2"/>
            <w:vMerge w:val="restart"/>
            <w:noWrap w:val="0"/>
            <w:vAlign w:val="center"/>
          </w:tcPr>
          <w:p w14:paraId="0F6351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数量</w:t>
            </w:r>
          </w:p>
          <w:p w14:paraId="6697ED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45" w:type="dxa"/>
            <w:noWrap w:val="0"/>
            <w:vAlign w:val="center"/>
          </w:tcPr>
          <w:p w14:paraId="7F58A5D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eastAsia="方正仿宋简体" w:cs="Times New Roman"/>
                <w:color w:val="000000"/>
                <w:kern w:val="2"/>
                <w:sz w:val="21"/>
                <w:szCs w:val="21"/>
                <w:lang w:val="en" w:eastAsia="zh-CN" w:bidi="ar-SA"/>
              </w:rPr>
              <w:t>持续强化政治思想建设</w:t>
            </w:r>
          </w:p>
        </w:tc>
        <w:tc>
          <w:tcPr>
            <w:tcW w:w="1194" w:type="dxa"/>
            <w:noWrap w:val="0"/>
            <w:vAlign w:val="center"/>
          </w:tcPr>
          <w:p w14:paraId="725A0AF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 w:eastAsia="zh-CN" w:bidi="ar-SA"/>
              </w:rPr>
              <w:t>旗帜鲜明讲政治，坚持党对法学会工作的绝对领导，确保正确政治方向。坚持抓好党的二十大精神、习近平法治思想、习近平来川视察重要讲话精神的学习宣传贯彻，</w:t>
            </w:r>
            <w:r>
              <w:rPr>
                <w:rFonts w:hint="eastAsia" w:ascii="宋体" w:hAnsi="宋体" w:eastAsia="方正仿宋简体" w:cs="Times New Roman"/>
                <w:color w:val="000000"/>
                <w:kern w:val="2"/>
                <w:sz w:val="21"/>
                <w:szCs w:val="21"/>
                <w:lang w:val="en-US" w:eastAsia="zh-CN" w:bidi="ar-SA"/>
              </w:rPr>
              <w:t>2篇理论文章在省级以上媒体刊物发表。</w:t>
            </w:r>
          </w:p>
          <w:p w14:paraId="295EA5E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jc w:val="both"/>
              <w:textAlignment w:val="auto"/>
              <w:rPr>
                <w:rFonts w:hint="eastAsia" w:ascii="宋体" w:hAnsi="宋体" w:eastAsia="宋体"/>
                <w:color w:val="000000"/>
                <w:kern w:val="0"/>
                <w:sz w:val="18"/>
                <w:szCs w:val="18"/>
                <w:lang w:eastAsia="zh-CN"/>
              </w:rPr>
            </w:pPr>
          </w:p>
        </w:tc>
        <w:tc>
          <w:tcPr>
            <w:tcW w:w="1414" w:type="dxa"/>
            <w:noWrap w:val="0"/>
            <w:vAlign w:val="center"/>
          </w:tcPr>
          <w:p w14:paraId="6B6636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eastAsia="zh-CN"/>
              </w:rPr>
            </w:pPr>
            <w:r>
              <w:rPr>
                <w:rFonts w:hint="eastAsia" w:ascii="宋体" w:hAnsi="宋体" w:eastAsia="方正仿宋简体" w:cs="Times New Roman"/>
                <w:color w:val="000000"/>
                <w:kern w:val="2"/>
                <w:sz w:val="21"/>
                <w:szCs w:val="21"/>
                <w:lang w:val="en-US" w:eastAsia="zh-CN" w:bidi="ar-SA"/>
              </w:rPr>
              <w:t>已完成</w:t>
            </w:r>
          </w:p>
        </w:tc>
        <w:tc>
          <w:tcPr>
            <w:tcW w:w="2058" w:type="dxa"/>
            <w:gridSpan w:val="3"/>
            <w:noWrap w:val="0"/>
            <w:vAlign w:val="center"/>
          </w:tcPr>
          <w:p w14:paraId="684C83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eastAsia="zh-CN"/>
              </w:rPr>
            </w:pPr>
            <w:r>
              <w:rPr>
                <w:rFonts w:ascii="宋体" w:hAnsi="宋体"/>
                <w:color w:val="000000"/>
                <w:kern w:val="0"/>
                <w:sz w:val="18"/>
                <w:szCs w:val="18"/>
              </w:rPr>
              <w:t>　</w:t>
            </w:r>
            <w:r>
              <w:rPr>
                <w:rFonts w:hint="eastAsia" w:ascii="宋体" w:hAnsi="宋体"/>
                <w:color w:val="000000"/>
                <w:kern w:val="0"/>
                <w:sz w:val="18"/>
                <w:szCs w:val="18"/>
                <w:lang w:eastAsia="zh-CN"/>
              </w:rPr>
              <w:t>无偏差</w:t>
            </w:r>
          </w:p>
        </w:tc>
      </w:tr>
      <w:tr w14:paraId="5053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1E22813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6B4833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vMerge w:val="continue"/>
            <w:noWrap w:val="0"/>
            <w:vAlign w:val="center"/>
          </w:tcPr>
          <w:p w14:paraId="4312BB9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145" w:type="dxa"/>
            <w:noWrap w:val="0"/>
            <w:vAlign w:val="center"/>
          </w:tcPr>
          <w:p w14:paraId="15411E1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组织开展了西部法治论坛、“治蜀兴川”法治论坛等论坛征文。</w:t>
            </w:r>
          </w:p>
        </w:tc>
        <w:tc>
          <w:tcPr>
            <w:tcW w:w="1194" w:type="dxa"/>
            <w:noWrap w:val="0"/>
            <w:vAlign w:val="center"/>
          </w:tcPr>
          <w:p w14:paraId="2FE7739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2023年市法学会共推荐各类法学论文，共计141篇，获得各类奖项8个。</w:t>
            </w:r>
          </w:p>
        </w:tc>
        <w:tc>
          <w:tcPr>
            <w:tcW w:w="1414" w:type="dxa"/>
            <w:noWrap w:val="0"/>
            <w:vAlign w:val="center"/>
          </w:tcPr>
          <w:p w14:paraId="0AEBBDC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已完成</w:t>
            </w:r>
          </w:p>
        </w:tc>
        <w:tc>
          <w:tcPr>
            <w:tcW w:w="2058" w:type="dxa"/>
            <w:gridSpan w:val="3"/>
            <w:noWrap w:val="0"/>
            <w:vAlign w:val="center"/>
          </w:tcPr>
          <w:p w14:paraId="3D2CD7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eastAsia="zh-CN"/>
              </w:rPr>
            </w:pPr>
            <w:r>
              <w:rPr>
                <w:rFonts w:ascii="宋体" w:hAnsi="宋体"/>
                <w:color w:val="000000"/>
                <w:kern w:val="0"/>
                <w:sz w:val="18"/>
                <w:szCs w:val="18"/>
              </w:rPr>
              <w:t>　</w:t>
            </w:r>
            <w:r>
              <w:rPr>
                <w:rFonts w:hint="eastAsia" w:ascii="宋体" w:hAnsi="宋体"/>
                <w:color w:val="000000"/>
                <w:kern w:val="0"/>
                <w:sz w:val="18"/>
                <w:szCs w:val="18"/>
                <w:lang w:eastAsia="zh-CN"/>
              </w:rPr>
              <w:t>无偏差</w:t>
            </w:r>
          </w:p>
        </w:tc>
      </w:tr>
      <w:tr w14:paraId="68DB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3E02B2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5A00F8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vMerge w:val="continue"/>
            <w:noWrap w:val="0"/>
            <w:vAlign w:val="center"/>
          </w:tcPr>
          <w:p w14:paraId="0CEEB3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145" w:type="dxa"/>
            <w:noWrap w:val="0"/>
            <w:vAlign w:val="center"/>
          </w:tcPr>
          <w:p w14:paraId="6A7AEAD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扎实开展“双百”法治宣讲活动</w:t>
            </w:r>
          </w:p>
        </w:tc>
        <w:tc>
          <w:tcPr>
            <w:tcW w:w="1194" w:type="dxa"/>
            <w:noWrap w:val="0"/>
            <w:vAlign w:val="center"/>
          </w:tcPr>
          <w:p w14:paraId="0A79957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组织法学法律专家、法律服务志愿者等宣讲人员开展“双百”重要专场32场。</w:t>
            </w:r>
          </w:p>
        </w:tc>
        <w:tc>
          <w:tcPr>
            <w:tcW w:w="1414" w:type="dxa"/>
            <w:noWrap w:val="0"/>
            <w:vAlign w:val="center"/>
          </w:tcPr>
          <w:p w14:paraId="7C7B851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已完成</w:t>
            </w:r>
          </w:p>
        </w:tc>
        <w:tc>
          <w:tcPr>
            <w:tcW w:w="2058" w:type="dxa"/>
            <w:gridSpan w:val="3"/>
            <w:noWrap w:val="0"/>
            <w:vAlign w:val="center"/>
          </w:tcPr>
          <w:p w14:paraId="0A73D3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eastAsia="zh-CN"/>
              </w:rPr>
            </w:pPr>
            <w:r>
              <w:rPr>
                <w:rFonts w:ascii="宋体" w:hAnsi="宋体"/>
                <w:color w:val="000000"/>
                <w:kern w:val="0"/>
                <w:sz w:val="18"/>
                <w:szCs w:val="18"/>
              </w:rPr>
              <w:t>　</w:t>
            </w:r>
            <w:r>
              <w:rPr>
                <w:rFonts w:hint="eastAsia" w:ascii="宋体" w:hAnsi="宋体"/>
                <w:color w:val="000000"/>
                <w:kern w:val="0"/>
                <w:sz w:val="18"/>
                <w:szCs w:val="18"/>
                <w:lang w:eastAsia="zh-CN"/>
              </w:rPr>
              <w:t>无偏差</w:t>
            </w:r>
          </w:p>
        </w:tc>
      </w:tr>
      <w:tr w14:paraId="5D3C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890" w:type="dxa"/>
            <w:vMerge w:val="continue"/>
            <w:noWrap w:val="0"/>
            <w:vAlign w:val="center"/>
          </w:tcPr>
          <w:p w14:paraId="5FBB553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304684C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vMerge w:val="continue"/>
            <w:noWrap w:val="0"/>
            <w:vAlign w:val="center"/>
          </w:tcPr>
          <w:p w14:paraId="0F363FB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145" w:type="dxa"/>
            <w:noWrap w:val="0"/>
            <w:vAlign w:val="center"/>
          </w:tcPr>
          <w:p w14:paraId="6A57CD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扎实开展青年普法志愿者基层行活动</w:t>
            </w:r>
          </w:p>
          <w:p w14:paraId="414AA8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方正仿宋简体" w:cs="Times New Roman"/>
                <w:color w:val="000000"/>
                <w:kern w:val="2"/>
                <w:sz w:val="21"/>
                <w:szCs w:val="21"/>
                <w:lang w:val="en-US" w:eastAsia="zh-CN" w:bidi="ar-SA"/>
              </w:rPr>
            </w:pPr>
          </w:p>
        </w:tc>
        <w:tc>
          <w:tcPr>
            <w:tcW w:w="1194" w:type="dxa"/>
            <w:noWrap w:val="0"/>
            <w:vAlign w:val="center"/>
          </w:tcPr>
          <w:p w14:paraId="204DBBA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围绕国家安全、生态环境、宪法法律等方面累计开展普法宣传2860场次，40万余名群众受到法治教育。</w:t>
            </w:r>
          </w:p>
        </w:tc>
        <w:tc>
          <w:tcPr>
            <w:tcW w:w="1414" w:type="dxa"/>
            <w:noWrap w:val="0"/>
            <w:vAlign w:val="center"/>
          </w:tcPr>
          <w:p w14:paraId="483B56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已完成</w:t>
            </w:r>
          </w:p>
        </w:tc>
        <w:tc>
          <w:tcPr>
            <w:tcW w:w="2058" w:type="dxa"/>
            <w:gridSpan w:val="3"/>
            <w:noWrap w:val="0"/>
            <w:vAlign w:val="center"/>
          </w:tcPr>
          <w:p w14:paraId="0123FD9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无偏差</w:t>
            </w:r>
          </w:p>
        </w:tc>
      </w:tr>
      <w:tr w14:paraId="01FF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5543341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3FAA37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noWrap w:val="0"/>
            <w:vAlign w:val="center"/>
          </w:tcPr>
          <w:p w14:paraId="7AACF8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145" w:type="dxa"/>
            <w:noWrap w:val="0"/>
            <w:vAlign w:val="center"/>
          </w:tcPr>
          <w:p w14:paraId="6FCAAE7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全力服务发展大局</w:t>
            </w:r>
          </w:p>
        </w:tc>
        <w:tc>
          <w:tcPr>
            <w:tcW w:w="1194" w:type="dxa"/>
            <w:noWrap w:val="0"/>
            <w:vAlign w:val="center"/>
          </w:tcPr>
          <w:p w14:paraId="3012B8E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组织政法机关法学会会员深入走访园区企业486家，开展专项法律培训71场次。全市首席法律咨询专家制度建设提质增效，成安渝高速破产转和解等5个经典案例入选四川省推进首席法律咨询专家制度典型案例选编。</w:t>
            </w:r>
          </w:p>
        </w:tc>
        <w:tc>
          <w:tcPr>
            <w:tcW w:w="1414" w:type="dxa"/>
            <w:noWrap w:val="0"/>
            <w:vAlign w:val="center"/>
          </w:tcPr>
          <w:p w14:paraId="17BB6E9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已完成</w:t>
            </w:r>
          </w:p>
        </w:tc>
        <w:tc>
          <w:tcPr>
            <w:tcW w:w="2058" w:type="dxa"/>
            <w:gridSpan w:val="3"/>
            <w:noWrap w:val="0"/>
            <w:vAlign w:val="center"/>
          </w:tcPr>
          <w:p w14:paraId="223B7D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18"/>
                <w:szCs w:val="18"/>
                <w:lang w:eastAsia="zh-CN"/>
              </w:rPr>
            </w:pPr>
            <w:r>
              <w:rPr>
                <w:rFonts w:hint="eastAsia" w:ascii="宋体" w:hAnsi="宋体"/>
                <w:color w:val="000000"/>
                <w:kern w:val="0"/>
                <w:sz w:val="18"/>
                <w:szCs w:val="18"/>
                <w:lang w:eastAsia="zh-CN"/>
              </w:rPr>
              <w:t>无偏差</w:t>
            </w:r>
          </w:p>
        </w:tc>
      </w:tr>
      <w:tr w14:paraId="77CB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552F985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0588FA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vMerge w:val="restart"/>
            <w:noWrap w:val="0"/>
            <w:vAlign w:val="center"/>
          </w:tcPr>
          <w:p w14:paraId="6CAD33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质量</w:t>
            </w:r>
          </w:p>
          <w:p w14:paraId="7DDB50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45" w:type="dxa"/>
            <w:noWrap w:val="0"/>
            <w:vAlign w:val="center"/>
          </w:tcPr>
          <w:p w14:paraId="5F395C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政治把关</w:t>
            </w:r>
          </w:p>
        </w:tc>
        <w:tc>
          <w:tcPr>
            <w:tcW w:w="1194" w:type="dxa"/>
            <w:noWrap w:val="0"/>
            <w:vAlign w:val="center"/>
          </w:tcPr>
          <w:p w14:paraId="49FE1B4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　及时率</w:t>
            </w:r>
          </w:p>
        </w:tc>
        <w:tc>
          <w:tcPr>
            <w:tcW w:w="1414" w:type="dxa"/>
            <w:noWrap w:val="0"/>
            <w:vAlign w:val="center"/>
          </w:tcPr>
          <w:p w14:paraId="3C98AB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100%</w:t>
            </w:r>
          </w:p>
        </w:tc>
        <w:tc>
          <w:tcPr>
            <w:tcW w:w="2058" w:type="dxa"/>
            <w:gridSpan w:val="3"/>
            <w:noWrap w:val="0"/>
            <w:vAlign w:val="center"/>
          </w:tcPr>
          <w:p w14:paraId="1FC7AC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lang w:eastAsia="zh-CN"/>
              </w:rPr>
              <w:t>无偏差</w:t>
            </w:r>
          </w:p>
        </w:tc>
      </w:tr>
      <w:tr w14:paraId="16AF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0E0432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63ABE85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vMerge w:val="continue"/>
            <w:noWrap w:val="0"/>
            <w:vAlign w:val="center"/>
          </w:tcPr>
          <w:p w14:paraId="501194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145" w:type="dxa"/>
            <w:noWrap w:val="0"/>
            <w:vAlign w:val="center"/>
          </w:tcPr>
          <w:p w14:paraId="477894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法学研究</w:t>
            </w:r>
          </w:p>
        </w:tc>
        <w:tc>
          <w:tcPr>
            <w:tcW w:w="1194" w:type="dxa"/>
            <w:noWrap w:val="0"/>
            <w:vAlign w:val="center"/>
          </w:tcPr>
          <w:p w14:paraId="502B3D8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　及时率</w:t>
            </w:r>
          </w:p>
        </w:tc>
        <w:tc>
          <w:tcPr>
            <w:tcW w:w="1414" w:type="dxa"/>
            <w:noWrap w:val="0"/>
            <w:vAlign w:val="center"/>
          </w:tcPr>
          <w:p w14:paraId="2C9B809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100%</w:t>
            </w:r>
          </w:p>
        </w:tc>
        <w:tc>
          <w:tcPr>
            <w:tcW w:w="2058" w:type="dxa"/>
            <w:gridSpan w:val="3"/>
            <w:noWrap w:val="0"/>
            <w:vAlign w:val="center"/>
          </w:tcPr>
          <w:p w14:paraId="1FF5FCD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lang w:eastAsia="zh-CN"/>
              </w:rPr>
              <w:t>无偏差</w:t>
            </w:r>
          </w:p>
        </w:tc>
      </w:tr>
      <w:tr w14:paraId="0C3E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255F1E5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1457F7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vMerge w:val="continue"/>
            <w:noWrap w:val="0"/>
            <w:vAlign w:val="center"/>
          </w:tcPr>
          <w:p w14:paraId="6D8BF8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145" w:type="dxa"/>
            <w:noWrap w:val="0"/>
            <w:vAlign w:val="center"/>
          </w:tcPr>
          <w:p w14:paraId="72B2A8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法治宣讲</w:t>
            </w:r>
          </w:p>
        </w:tc>
        <w:tc>
          <w:tcPr>
            <w:tcW w:w="1194" w:type="dxa"/>
            <w:noWrap w:val="0"/>
            <w:vAlign w:val="center"/>
          </w:tcPr>
          <w:p w14:paraId="286B21F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及时率</w:t>
            </w:r>
          </w:p>
        </w:tc>
        <w:tc>
          <w:tcPr>
            <w:tcW w:w="1414" w:type="dxa"/>
            <w:noWrap w:val="0"/>
            <w:vAlign w:val="center"/>
          </w:tcPr>
          <w:p w14:paraId="35DD18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100%</w:t>
            </w:r>
          </w:p>
        </w:tc>
        <w:tc>
          <w:tcPr>
            <w:tcW w:w="2058" w:type="dxa"/>
            <w:gridSpan w:val="3"/>
            <w:noWrap w:val="0"/>
            <w:vAlign w:val="center"/>
          </w:tcPr>
          <w:p w14:paraId="36F62A4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lang w:eastAsia="zh-CN"/>
              </w:rPr>
              <w:t>无偏差</w:t>
            </w:r>
          </w:p>
        </w:tc>
      </w:tr>
      <w:tr w14:paraId="7F18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1E1B4B7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56314E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vMerge w:val="continue"/>
            <w:noWrap w:val="0"/>
            <w:vAlign w:val="center"/>
          </w:tcPr>
          <w:p w14:paraId="044ED3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145" w:type="dxa"/>
            <w:noWrap w:val="0"/>
            <w:vAlign w:val="center"/>
          </w:tcPr>
          <w:p w14:paraId="3683C0C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法律服务</w:t>
            </w:r>
          </w:p>
        </w:tc>
        <w:tc>
          <w:tcPr>
            <w:tcW w:w="1194" w:type="dxa"/>
            <w:noWrap w:val="0"/>
            <w:vAlign w:val="center"/>
          </w:tcPr>
          <w:p w14:paraId="3890D0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化解率</w:t>
            </w:r>
          </w:p>
        </w:tc>
        <w:tc>
          <w:tcPr>
            <w:tcW w:w="1414" w:type="dxa"/>
            <w:noWrap w:val="0"/>
            <w:vAlign w:val="center"/>
          </w:tcPr>
          <w:p w14:paraId="6ACAFF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98%</w:t>
            </w:r>
          </w:p>
        </w:tc>
        <w:tc>
          <w:tcPr>
            <w:tcW w:w="2058" w:type="dxa"/>
            <w:gridSpan w:val="3"/>
            <w:noWrap w:val="0"/>
            <w:vAlign w:val="center"/>
          </w:tcPr>
          <w:p w14:paraId="1E0E546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lang w:eastAsia="zh-CN"/>
              </w:rPr>
              <w:t>无偏差</w:t>
            </w:r>
          </w:p>
        </w:tc>
      </w:tr>
      <w:tr w14:paraId="3F80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0E88C2F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1DC4281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noWrap w:val="0"/>
            <w:vAlign w:val="center"/>
          </w:tcPr>
          <w:p w14:paraId="08E88C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时效</w:t>
            </w:r>
          </w:p>
          <w:p w14:paraId="490477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45" w:type="dxa"/>
            <w:noWrap w:val="0"/>
            <w:vAlign w:val="center"/>
          </w:tcPr>
          <w:p w14:paraId="77FC05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法学会工作及时性</w:t>
            </w:r>
          </w:p>
        </w:tc>
        <w:tc>
          <w:tcPr>
            <w:tcW w:w="1194" w:type="dxa"/>
            <w:noWrap w:val="0"/>
            <w:vAlign w:val="center"/>
          </w:tcPr>
          <w:p w14:paraId="20C987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　及时</w:t>
            </w:r>
          </w:p>
        </w:tc>
        <w:tc>
          <w:tcPr>
            <w:tcW w:w="1414" w:type="dxa"/>
            <w:noWrap w:val="0"/>
            <w:vAlign w:val="center"/>
          </w:tcPr>
          <w:p w14:paraId="154051D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按时完成</w:t>
            </w:r>
          </w:p>
        </w:tc>
        <w:tc>
          <w:tcPr>
            <w:tcW w:w="2058" w:type="dxa"/>
            <w:gridSpan w:val="3"/>
            <w:noWrap w:val="0"/>
            <w:vAlign w:val="center"/>
          </w:tcPr>
          <w:p w14:paraId="67D62F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r>
              <w:rPr>
                <w:rFonts w:hint="eastAsia" w:ascii="宋体" w:hAnsi="宋体"/>
                <w:color w:val="000000"/>
                <w:kern w:val="0"/>
                <w:sz w:val="18"/>
                <w:szCs w:val="18"/>
                <w:lang w:eastAsia="zh-CN"/>
              </w:rPr>
              <w:t>无偏差</w:t>
            </w:r>
          </w:p>
        </w:tc>
      </w:tr>
      <w:tr w14:paraId="0A0B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4AFADC2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55A2C8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noWrap w:val="0"/>
            <w:vAlign w:val="center"/>
          </w:tcPr>
          <w:p w14:paraId="56F99F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成本</w:t>
            </w:r>
          </w:p>
          <w:p w14:paraId="57493A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145" w:type="dxa"/>
            <w:noWrap w:val="0"/>
            <w:vAlign w:val="center"/>
          </w:tcPr>
          <w:p w14:paraId="3AB95D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成本控制</w:t>
            </w:r>
          </w:p>
        </w:tc>
        <w:tc>
          <w:tcPr>
            <w:tcW w:w="1194" w:type="dxa"/>
            <w:noWrap w:val="0"/>
            <w:vAlign w:val="center"/>
          </w:tcPr>
          <w:p w14:paraId="7201C47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预算4.88万元，支出4.88万</w:t>
            </w:r>
          </w:p>
        </w:tc>
        <w:tc>
          <w:tcPr>
            <w:tcW w:w="1414" w:type="dxa"/>
            <w:noWrap w:val="0"/>
            <w:vAlign w:val="center"/>
          </w:tcPr>
          <w:p w14:paraId="710CED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控制率100%</w:t>
            </w:r>
          </w:p>
        </w:tc>
        <w:tc>
          <w:tcPr>
            <w:tcW w:w="2058" w:type="dxa"/>
            <w:gridSpan w:val="3"/>
            <w:noWrap w:val="0"/>
            <w:vAlign w:val="center"/>
          </w:tcPr>
          <w:p w14:paraId="539705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无偏差</w:t>
            </w:r>
          </w:p>
        </w:tc>
      </w:tr>
      <w:tr w14:paraId="5173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5EB507D7">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vMerge w:val="continue"/>
            <w:noWrap w:val="0"/>
            <w:vAlign w:val="center"/>
          </w:tcPr>
          <w:p w14:paraId="3A2AD19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1422" w:type="dxa"/>
            <w:gridSpan w:val="2"/>
            <w:noWrap w:val="0"/>
            <w:vAlign w:val="center"/>
          </w:tcPr>
          <w:p w14:paraId="4EBC28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社会效益指标</w:t>
            </w:r>
          </w:p>
        </w:tc>
        <w:tc>
          <w:tcPr>
            <w:tcW w:w="1145" w:type="dxa"/>
            <w:noWrap w:val="0"/>
            <w:vAlign w:val="center"/>
          </w:tcPr>
          <w:p w14:paraId="16A3CC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法学会工作的促进作用</w:t>
            </w:r>
          </w:p>
        </w:tc>
        <w:tc>
          <w:tcPr>
            <w:tcW w:w="1194" w:type="dxa"/>
            <w:noWrap w:val="0"/>
            <w:vAlign w:val="center"/>
          </w:tcPr>
          <w:p w14:paraId="022E21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增强了干部群众的法治意识，强化了对习近平法治思想的学习贯彻。</w:t>
            </w:r>
          </w:p>
        </w:tc>
        <w:tc>
          <w:tcPr>
            <w:tcW w:w="1414" w:type="dxa"/>
            <w:noWrap w:val="0"/>
            <w:vAlign w:val="center"/>
          </w:tcPr>
          <w:p w14:paraId="254DE69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法学会的知名度和影响力进一步提升</w:t>
            </w:r>
          </w:p>
          <w:p w14:paraId="3BE4144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p>
        </w:tc>
        <w:tc>
          <w:tcPr>
            <w:tcW w:w="2058" w:type="dxa"/>
            <w:gridSpan w:val="3"/>
            <w:noWrap w:val="0"/>
            <w:vAlign w:val="center"/>
          </w:tcPr>
          <w:p w14:paraId="4C3DC74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eastAsia="zh-CN"/>
              </w:rPr>
            </w:pPr>
            <w:r>
              <w:rPr>
                <w:rFonts w:ascii="宋体" w:hAnsi="宋体"/>
                <w:color w:val="000000"/>
                <w:kern w:val="0"/>
                <w:sz w:val="18"/>
                <w:szCs w:val="18"/>
              </w:rPr>
              <w:t>　</w:t>
            </w:r>
            <w:r>
              <w:rPr>
                <w:rFonts w:hint="eastAsia" w:ascii="宋体" w:hAnsi="宋体"/>
                <w:color w:val="000000"/>
                <w:kern w:val="0"/>
                <w:sz w:val="18"/>
                <w:szCs w:val="18"/>
                <w:lang w:eastAsia="zh-CN"/>
              </w:rPr>
              <w:t>无偏差</w:t>
            </w:r>
          </w:p>
        </w:tc>
      </w:tr>
      <w:tr w14:paraId="470F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14:paraId="5DBD4D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18"/>
                <w:szCs w:val="18"/>
              </w:rPr>
            </w:pPr>
          </w:p>
        </w:tc>
        <w:tc>
          <w:tcPr>
            <w:tcW w:w="847" w:type="dxa"/>
            <w:noWrap w:val="0"/>
            <w:vAlign w:val="center"/>
          </w:tcPr>
          <w:p w14:paraId="0CD8D4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满意度</w:t>
            </w:r>
          </w:p>
          <w:p w14:paraId="0F7F1A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指标</w:t>
            </w:r>
          </w:p>
        </w:tc>
        <w:tc>
          <w:tcPr>
            <w:tcW w:w="1422" w:type="dxa"/>
            <w:gridSpan w:val="2"/>
            <w:noWrap w:val="0"/>
            <w:vAlign w:val="center"/>
          </w:tcPr>
          <w:p w14:paraId="60A143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18"/>
                <w:szCs w:val="18"/>
              </w:rPr>
            </w:pPr>
            <w:r>
              <w:rPr>
                <w:rFonts w:ascii="宋体" w:hAnsi="宋体"/>
                <w:color w:val="000000"/>
                <w:kern w:val="0"/>
                <w:sz w:val="18"/>
                <w:szCs w:val="18"/>
              </w:rPr>
              <w:t>满意度指标</w:t>
            </w:r>
          </w:p>
        </w:tc>
        <w:tc>
          <w:tcPr>
            <w:tcW w:w="1145" w:type="dxa"/>
            <w:noWrap w:val="0"/>
            <w:vAlign w:val="center"/>
          </w:tcPr>
          <w:p w14:paraId="18E6AC6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群众满意度</w:t>
            </w:r>
          </w:p>
        </w:tc>
        <w:tc>
          <w:tcPr>
            <w:tcW w:w="1194" w:type="dxa"/>
            <w:noWrap w:val="0"/>
            <w:vAlign w:val="center"/>
          </w:tcPr>
          <w:p w14:paraId="47D8F8A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　让90%以上群众满意</w:t>
            </w:r>
          </w:p>
        </w:tc>
        <w:tc>
          <w:tcPr>
            <w:tcW w:w="1414" w:type="dxa"/>
            <w:noWrap w:val="0"/>
            <w:vAlign w:val="center"/>
          </w:tcPr>
          <w:p w14:paraId="696944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方正仿宋简体" w:cs="Times New Roman"/>
                <w:color w:val="000000"/>
                <w:kern w:val="2"/>
                <w:sz w:val="21"/>
                <w:szCs w:val="21"/>
                <w:lang w:val="en-US" w:eastAsia="zh-CN" w:bidi="ar-SA"/>
              </w:rPr>
            </w:pPr>
            <w:r>
              <w:rPr>
                <w:rFonts w:hint="eastAsia" w:ascii="宋体" w:hAnsi="宋体" w:eastAsia="方正仿宋简体" w:cs="Times New Roman"/>
                <w:color w:val="000000"/>
                <w:kern w:val="2"/>
                <w:sz w:val="21"/>
                <w:szCs w:val="21"/>
                <w:lang w:val="en-US" w:eastAsia="zh-CN" w:bidi="ar-SA"/>
              </w:rPr>
              <w:t>　</w:t>
            </w:r>
          </w:p>
        </w:tc>
        <w:tc>
          <w:tcPr>
            <w:tcW w:w="2058" w:type="dxa"/>
            <w:gridSpan w:val="3"/>
            <w:noWrap w:val="0"/>
            <w:vAlign w:val="center"/>
          </w:tcPr>
          <w:p w14:paraId="75EACB0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olor w:val="000000"/>
                <w:kern w:val="0"/>
                <w:sz w:val="18"/>
                <w:szCs w:val="18"/>
                <w:lang w:val="en-US" w:eastAsia="zh-CN"/>
              </w:rPr>
            </w:pPr>
            <w:r>
              <w:rPr>
                <w:rFonts w:ascii="宋体" w:hAnsi="宋体"/>
                <w:color w:val="000000"/>
                <w:kern w:val="0"/>
                <w:sz w:val="18"/>
                <w:szCs w:val="18"/>
              </w:rPr>
              <w:t>　</w:t>
            </w:r>
            <w:r>
              <w:rPr>
                <w:rFonts w:hint="eastAsia" w:ascii="宋体" w:hAnsi="宋体"/>
                <w:color w:val="000000"/>
                <w:kern w:val="0"/>
                <w:sz w:val="18"/>
                <w:szCs w:val="18"/>
                <w:lang w:val="en-US" w:eastAsia="zh-CN"/>
              </w:rPr>
              <w:t>无偏差</w:t>
            </w:r>
          </w:p>
        </w:tc>
      </w:tr>
    </w:tbl>
    <w:p w14:paraId="0B19E4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FangSong_GB2312">
    <w:altName w:val="仿宋_GB2312"/>
    <w:panose1 w:val="00000000000000000000"/>
    <w:charset w:val="86"/>
    <w:family w:val="modern"/>
    <w:pitch w:val="default"/>
    <w:sig w:usb0="00000000" w:usb1="0000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EB2DF"/>
    <w:multiLevelType w:val="singleLevel"/>
    <w:tmpl w:val="BF7EB2DF"/>
    <w:lvl w:ilvl="0" w:tentative="0">
      <w:start w:val="3"/>
      <w:numFmt w:val="decimal"/>
      <w:suff w:val="nothing"/>
      <w:lvlText w:val="%1．"/>
      <w:lvlJc w:val="left"/>
    </w:lvl>
  </w:abstractNum>
  <w:abstractNum w:abstractNumId="1">
    <w:nsid w:val="DB2F6E78"/>
    <w:multiLevelType w:val="singleLevel"/>
    <w:tmpl w:val="DB2F6E78"/>
    <w:lvl w:ilvl="0" w:tentative="0">
      <w:start w:val="2"/>
      <w:numFmt w:val="chineseCounting"/>
      <w:suff w:val="nothing"/>
      <w:lvlText w:val="（%1）"/>
      <w:lvlJc w:val="left"/>
      <w:rPr>
        <w:rFonts w:hint="eastAsia"/>
      </w:rPr>
    </w:lvl>
  </w:abstractNum>
  <w:abstractNum w:abstractNumId="2">
    <w:nsid w:val="2B6988BC"/>
    <w:multiLevelType w:val="singleLevel"/>
    <w:tmpl w:val="2B6988BC"/>
    <w:lvl w:ilvl="0" w:tentative="0">
      <w:start w:val="5"/>
      <w:numFmt w:val="chineseCounting"/>
      <w:suff w:val="nothing"/>
      <w:lvlText w:val="%1、"/>
      <w:lvlJc w:val="left"/>
      <w:rPr>
        <w:rFonts w:hint="eastAsia"/>
      </w:rPr>
    </w:lvl>
  </w:abstractNum>
  <w:abstractNum w:abstractNumId="3">
    <w:nsid w:val="415A9290"/>
    <w:multiLevelType w:val="singleLevel"/>
    <w:tmpl w:val="415A9290"/>
    <w:lvl w:ilvl="0" w:tentative="0">
      <w:start w:val="2"/>
      <w:numFmt w:val="decimal"/>
      <w:suff w:val="nothing"/>
      <w:lvlText w:val="%1．"/>
      <w:lvlJc w:val="left"/>
    </w:lvl>
  </w:abstractNum>
  <w:abstractNum w:abstractNumId="4">
    <w:nsid w:val="7CB4B985"/>
    <w:multiLevelType w:val="singleLevel"/>
    <w:tmpl w:val="7CB4B985"/>
    <w:lvl w:ilvl="0" w:tentative="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WEwMjJkYWI4NWRhNjdmMDY0OTMxYWE2OTJlNWIifQ=="/>
  </w:docVars>
  <w:rsids>
    <w:rsidRoot w:val="152A77CB"/>
    <w:rsid w:val="152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link w:val="13"/>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index 6"/>
    <w:basedOn w:val="1"/>
    <w:next w:val="1"/>
    <w:qFormat/>
    <w:uiPriority w:val="99"/>
    <w:pPr>
      <w:ind w:left="2100"/>
    </w:pPr>
  </w:style>
  <w:style w:type="paragraph" w:styleId="5">
    <w:name w:val="Body Text Indent"/>
    <w:basedOn w:val="1"/>
    <w:next w:val="6"/>
    <w:qFormat/>
    <w:uiPriority w:val="0"/>
    <w:pPr>
      <w:spacing w:after="120"/>
      <w:ind w:leftChars="200"/>
    </w:pPr>
    <w:rPr>
      <w:rFonts w:ascii="仿宋_GB2312"/>
      <w:szCs w:val="32"/>
    </w:rPr>
  </w:style>
  <w:style w:type="paragraph" w:styleId="6">
    <w:name w:val="Body Text First Indent 2"/>
    <w:basedOn w:val="5"/>
    <w:next w:val="1"/>
    <w:unhideWhenUsed/>
    <w:qFormat/>
    <w:uiPriority w:val="99"/>
    <w:pPr>
      <w:ind w:firstLine="420" w:firstLine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uiPriority w:val="0"/>
    <w:rPr>
      <w:color w:val="0000FF"/>
      <w:u w:val="single"/>
    </w:rPr>
  </w:style>
  <w:style w:type="character" w:customStyle="1" w:styleId="13">
    <w:name w:val="标题 1 字符"/>
    <w:link w:val="4"/>
    <w:qFormat/>
    <w:uiPriority w:val="9"/>
    <w:rPr>
      <w:rFonts w:hint="eastAsia" w:ascii="宋体" w:hAnsi="宋体" w:eastAsia="宋体" w:cs="宋体"/>
      <w:b/>
      <w:bCs/>
      <w:kern w:val="44"/>
      <w:sz w:val="48"/>
      <w:szCs w:val="48"/>
      <w:lang w:val="en-US" w:eastAsia="zh-CN" w:bidi="ar"/>
    </w:rPr>
  </w:style>
  <w:style w:type="paragraph" w:customStyle="1" w:styleId="14">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2024-09-25T07:22:00Z</dcterms:created>
  <dc:creator>嗯呐。</dc:creator>
  <cp:lastModifiedBy>嗯呐。</cp:lastModifiedBy>
  <dcterms:modified xsi:type="dcterms:W3CDTF">2024-09-25T10:02:06Z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C5C2C96E0E7043D8B738D7190FFDB6B5_11</vt:lpwstr>
  </property>
</Properties>
</file>